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63E" w:rsidRPr="002D063E" w:rsidRDefault="002D063E" w:rsidP="002D063E">
      <w:pPr>
        <w:pStyle w:val="ListParagraph"/>
        <w:spacing w:after="0" w:line="240" w:lineRule="auto"/>
        <w:ind w:left="360"/>
        <w:rPr>
          <w:rFonts w:ascii="Trebuchet MS" w:hAnsi="Trebuchet MS"/>
          <w:sz w:val="24"/>
          <w:szCs w:val="24"/>
          <w:u w:val="single"/>
        </w:rPr>
      </w:pPr>
      <w:r w:rsidRPr="002D063E">
        <w:rPr>
          <w:rFonts w:ascii="Trebuchet MS" w:hAnsi="Trebuchet MS"/>
          <w:sz w:val="24"/>
          <w:szCs w:val="24"/>
          <w:u w:val="single"/>
        </w:rPr>
        <w:t>Scope:</w:t>
      </w:r>
    </w:p>
    <w:p w:rsidR="002D063E" w:rsidRPr="002D063E" w:rsidRDefault="002D063E" w:rsidP="002D063E">
      <w:pPr>
        <w:autoSpaceDE w:val="0"/>
        <w:autoSpaceDN w:val="0"/>
        <w:adjustRightInd w:val="0"/>
        <w:spacing w:after="0" w:line="240" w:lineRule="auto"/>
        <w:ind w:left="990" w:hanging="630"/>
        <w:rPr>
          <w:rFonts w:ascii="Trebuchet MS" w:hAnsi="Trebuchet MS"/>
          <w:sz w:val="24"/>
          <w:szCs w:val="24"/>
          <w:u w:val="single"/>
        </w:rPr>
      </w:pPr>
      <w:r w:rsidRPr="002D063E">
        <w:rPr>
          <w:rFonts w:ascii="Trebuchet MS" w:hAnsi="Trebuchet MS"/>
          <w:sz w:val="24"/>
          <w:szCs w:val="24"/>
          <w:u w:val="single"/>
        </w:rPr>
        <w:t>In case of Working Capital:</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Monitor the purchases/invoices of the company (about quantum and reasonableness of the rates) for procurement of raw material / spares/ transportation of raw material etc. on daily/weekly basis and compare vis-à-vis monthly operation budget submitted by the company. Periodicity would be decided by the Bank/ Consortium.</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Review of inventory build-up (including trade receivables and advances to the Company) for operation of the units commensurate with funds released.</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 xml:space="preserve">To monitor the actual operations (production / supplies etc.) </w:t>
      </w:r>
      <w:proofErr w:type="spellStart"/>
      <w:r w:rsidRPr="005E5593">
        <w:rPr>
          <w:rFonts w:ascii="Trebuchet MS" w:hAnsi="Trebuchet MS"/>
        </w:rPr>
        <w:t>vis</w:t>
      </w:r>
      <w:proofErr w:type="spellEnd"/>
      <w:r w:rsidRPr="005E5593">
        <w:rPr>
          <w:rFonts w:ascii="Trebuchet MS" w:hAnsi="Trebuchet MS"/>
        </w:rPr>
        <w:t>-a-</w:t>
      </w:r>
      <w:proofErr w:type="spellStart"/>
      <w:r w:rsidRPr="005E5593">
        <w:rPr>
          <w:rFonts w:ascii="Trebuchet MS" w:hAnsi="Trebuchet MS"/>
        </w:rPr>
        <w:t>vis</w:t>
      </w:r>
      <w:proofErr w:type="spellEnd"/>
      <w:r w:rsidRPr="005E5593">
        <w:rPr>
          <w:rFonts w:ascii="Trebuchet MS" w:hAnsi="Trebuchet MS"/>
        </w:rPr>
        <w:t xml:space="preserve"> projections.</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Verification of high value transaction/ payment as regards beneficiary and purpose.</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Assessment of financial information that has been and that will be provided by the company to its lenders including information related to its short term and long term cash flows.</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 xml:space="preserve">Identify key issues and submit the report </w:t>
      </w:r>
      <w:proofErr w:type="spellStart"/>
      <w:r w:rsidRPr="005E5593">
        <w:rPr>
          <w:rFonts w:ascii="Trebuchet MS" w:hAnsi="Trebuchet MS"/>
        </w:rPr>
        <w:t>alongwith</w:t>
      </w:r>
      <w:proofErr w:type="spellEnd"/>
      <w:r w:rsidRPr="005E5593">
        <w:rPr>
          <w:rFonts w:ascii="Trebuchet MS" w:hAnsi="Trebuchet MS"/>
        </w:rPr>
        <w:t xml:space="preserve"> the suggestions with regard to smooth operations of the project.</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Additional verification of evidence of end use of facilities to company and its utilization as per the conditions laid down by the Bank.</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Inspection/verification of stocks/book debts and submission of monthly report (or as stipulated by Lenders) about the inventory/receivables position of the company including slow moving inventory if any, to arrive at correct drawing power to the company.</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Submit reports at regular intervals (say at quarterly interval or as stipulated by the Bank/consortium members) on:</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 xml:space="preserve">Temporary /long term/unscheduled closure of manufacture facilities </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Any untoward incident or suspicious business or unrelated activity</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Non–cooperation from borrower to provide general information.</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Source of margin towards working capital/LC/BG</w:t>
      </w:r>
    </w:p>
    <w:p w:rsidR="002D063E" w:rsidRPr="005E5593" w:rsidRDefault="002D063E" w:rsidP="002D063E">
      <w:pPr>
        <w:pStyle w:val="ListParagraph"/>
        <w:numPr>
          <w:ilvl w:val="0"/>
          <w:numId w:val="2"/>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Quality of Book Debt, their appropriateness, age wise classification and eligible Book Debts for Drawing Power.</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In case of consortium lending, ASM will monitor status of borrowing with member bank, conduct of accounts, business sharing etc.</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Confirmation on availability of adequate insurance for the Securities/ Stocks/ Assets with Bank clause noted</w:t>
      </w:r>
    </w:p>
    <w:p w:rsidR="002D063E" w:rsidRPr="005E5593" w:rsidRDefault="002D063E" w:rsidP="002D063E">
      <w:pPr>
        <w:pStyle w:val="ListParagraph"/>
        <w:numPr>
          <w:ilvl w:val="0"/>
          <w:numId w:val="2"/>
        </w:numPr>
        <w:autoSpaceDE w:val="0"/>
        <w:autoSpaceDN w:val="0"/>
        <w:adjustRightInd w:val="0"/>
        <w:spacing w:after="0" w:line="240" w:lineRule="auto"/>
        <w:ind w:left="990" w:hanging="630"/>
        <w:rPr>
          <w:rFonts w:ascii="Trebuchet MS" w:hAnsi="Trebuchet MS"/>
        </w:rPr>
      </w:pPr>
      <w:r w:rsidRPr="005E5593">
        <w:rPr>
          <w:rFonts w:ascii="Trebuchet MS" w:hAnsi="Trebuchet MS"/>
        </w:rPr>
        <w:t>Perform such other services as requested by the lenders and mutually agreed to by the party and lenders.</w:t>
      </w:r>
    </w:p>
    <w:p w:rsidR="002D063E" w:rsidRPr="005E5593" w:rsidRDefault="002D063E" w:rsidP="002D063E">
      <w:pPr>
        <w:tabs>
          <w:tab w:val="left" w:pos="0"/>
        </w:tabs>
        <w:autoSpaceDE w:val="0"/>
        <w:autoSpaceDN w:val="0"/>
        <w:adjustRightInd w:val="0"/>
        <w:spacing w:after="0" w:line="240" w:lineRule="auto"/>
        <w:ind w:left="360" w:hanging="630"/>
        <w:jc w:val="both"/>
        <w:rPr>
          <w:rFonts w:ascii="Trebuchet MS" w:hAnsi="Trebuchet MS"/>
        </w:rPr>
      </w:pPr>
    </w:p>
    <w:p w:rsidR="002D063E" w:rsidRPr="005E5593" w:rsidRDefault="002D063E" w:rsidP="002D063E">
      <w:pPr>
        <w:autoSpaceDE w:val="0"/>
        <w:autoSpaceDN w:val="0"/>
        <w:adjustRightInd w:val="0"/>
        <w:spacing w:after="0" w:line="240" w:lineRule="auto"/>
        <w:ind w:left="426"/>
        <w:jc w:val="both"/>
        <w:rPr>
          <w:rFonts w:ascii="Trebuchet MS" w:hAnsi="Trebuchet MS"/>
        </w:rPr>
      </w:pPr>
      <w:r w:rsidRPr="002D063E">
        <w:rPr>
          <w:rFonts w:ascii="Trebuchet MS" w:hAnsi="Trebuchet MS"/>
          <w:b/>
          <w:u w:val="single"/>
        </w:rPr>
        <w:t>In case of Term Loan</w:t>
      </w:r>
      <w:r w:rsidRPr="005E5593">
        <w:rPr>
          <w:rFonts w:ascii="Trebuchet MS" w:hAnsi="Trebuchet MS"/>
        </w:rPr>
        <w:t xml:space="preserve"> (Project Monitoring), preferably deployed when there is delay in implementation-ASMs for large accounts (exposure in excess of Rs.250 crores) should be engaged in order to ensure proper monitoring of project implementation as per schedule and utilization of funds, the scope of work will broadly include the following:</w:t>
      </w:r>
    </w:p>
    <w:p w:rsidR="002D063E" w:rsidRPr="005E5593" w:rsidRDefault="002D063E" w:rsidP="002D063E">
      <w:pPr>
        <w:autoSpaceDE w:val="0"/>
        <w:autoSpaceDN w:val="0"/>
        <w:adjustRightInd w:val="0"/>
        <w:spacing w:after="0" w:line="240" w:lineRule="auto"/>
        <w:ind w:left="360" w:hanging="630"/>
        <w:jc w:val="both"/>
        <w:rPr>
          <w:rFonts w:ascii="Trebuchet MS" w:hAnsi="Trebuchet MS"/>
        </w:rPr>
      </w:pPr>
    </w:p>
    <w:p w:rsidR="002D063E" w:rsidRPr="005E5593" w:rsidRDefault="002D063E" w:rsidP="002D063E">
      <w:pPr>
        <w:pStyle w:val="ListParagraph"/>
        <w:numPr>
          <w:ilvl w:val="0"/>
          <w:numId w:val="1"/>
        </w:numPr>
        <w:autoSpaceDE w:val="0"/>
        <w:autoSpaceDN w:val="0"/>
        <w:adjustRightInd w:val="0"/>
        <w:spacing w:after="0" w:line="240" w:lineRule="auto"/>
        <w:ind w:left="1530" w:hanging="630"/>
        <w:jc w:val="both"/>
        <w:rPr>
          <w:rFonts w:ascii="Trebuchet MS" w:hAnsi="Trebuchet MS"/>
        </w:rPr>
      </w:pPr>
      <w:r w:rsidRPr="005E5593">
        <w:rPr>
          <w:rFonts w:ascii="Trebuchet MS" w:hAnsi="Trebuchet MS"/>
        </w:rPr>
        <w:t>Conduct physical inspection of the project at regular intervals or deploy official at the project site for continuous monitoring, document reviews and monitoring of progress reports on continuous basis especially vis-à-vis original timelines to avoid sudden shocks of overrun.</w:t>
      </w:r>
    </w:p>
    <w:p w:rsidR="002D063E" w:rsidRPr="005E5593" w:rsidRDefault="002D063E" w:rsidP="002D063E">
      <w:pPr>
        <w:pStyle w:val="ListParagraph"/>
        <w:numPr>
          <w:ilvl w:val="0"/>
          <w:numId w:val="1"/>
        </w:numPr>
        <w:autoSpaceDE w:val="0"/>
        <w:autoSpaceDN w:val="0"/>
        <w:adjustRightInd w:val="0"/>
        <w:spacing w:after="0" w:line="240" w:lineRule="auto"/>
        <w:ind w:left="1530" w:hanging="630"/>
        <w:jc w:val="both"/>
        <w:rPr>
          <w:rFonts w:ascii="Trebuchet MS" w:hAnsi="Trebuchet MS"/>
        </w:rPr>
      </w:pPr>
      <w:r w:rsidRPr="005E5593">
        <w:rPr>
          <w:rFonts w:ascii="Trebuchet MS" w:hAnsi="Trebuchet MS"/>
        </w:rPr>
        <w:t>Determine progress and appropriateness of related transactions (e.g. payments made to contractors and sub-contractors, vendors, orders placed and commercial terms thereof)</w:t>
      </w:r>
    </w:p>
    <w:p w:rsidR="002D063E" w:rsidRPr="005E5593" w:rsidRDefault="002D063E" w:rsidP="002D063E">
      <w:pPr>
        <w:pStyle w:val="ListParagraph"/>
        <w:numPr>
          <w:ilvl w:val="0"/>
          <w:numId w:val="1"/>
        </w:numPr>
        <w:autoSpaceDE w:val="0"/>
        <w:autoSpaceDN w:val="0"/>
        <w:adjustRightInd w:val="0"/>
        <w:spacing w:after="0" w:line="240" w:lineRule="auto"/>
        <w:ind w:left="1530" w:hanging="630"/>
        <w:rPr>
          <w:rFonts w:ascii="Trebuchet MS" w:hAnsi="Trebuchet MS"/>
        </w:rPr>
      </w:pPr>
      <w:r w:rsidRPr="005E5593">
        <w:rPr>
          <w:rFonts w:ascii="Trebuchet MS" w:hAnsi="Trebuchet MS"/>
        </w:rPr>
        <w:t xml:space="preserve">Deviations in project progress </w:t>
      </w:r>
      <w:proofErr w:type="spellStart"/>
      <w:proofErr w:type="gramStart"/>
      <w:r w:rsidRPr="005E5593">
        <w:rPr>
          <w:rFonts w:ascii="Trebuchet MS" w:hAnsi="Trebuchet MS"/>
        </w:rPr>
        <w:t>vis</w:t>
      </w:r>
      <w:proofErr w:type="spellEnd"/>
      <w:proofErr w:type="gramEnd"/>
      <w:r w:rsidRPr="005E5593">
        <w:rPr>
          <w:rFonts w:ascii="Trebuchet MS" w:hAnsi="Trebuchet MS"/>
        </w:rPr>
        <w:t xml:space="preserve"> a </w:t>
      </w:r>
      <w:proofErr w:type="spellStart"/>
      <w:r w:rsidRPr="005E5593">
        <w:rPr>
          <w:rFonts w:ascii="Trebuchet MS" w:hAnsi="Trebuchet MS"/>
        </w:rPr>
        <w:t>vis</w:t>
      </w:r>
      <w:proofErr w:type="spellEnd"/>
      <w:r w:rsidRPr="005E5593">
        <w:rPr>
          <w:rFonts w:ascii="Trebuchet MS" w:hAnsi="Trebuchet MS"/>
        </w:rPr>
        <w:t xml:space="preserve"> timelines and amount disbursed. High value payment / dues to be clearly monitored to ensure proper utilization.</w:t>
      </w:r>
    </w:p>
    <w:p w:rsidR="002D063E" w:rsidRPr="005E5593" w:rsidRDefault="002D063E" w:rsidP="002D063E">
      <w:pPr>
        <w:pStyle w:val="ListParagraph"/>
        <w:numPr>
          <w:ilvl w:val="0"/>
          <w:numId w:val="1"/>
        </w:numPr>
        <w:autoSpaceDE w:val="0"/>
        <w:autoSpaceDN w:val="0"/>
        <w:adjustRightInd w:val="0"/>
        <w:spacing w:after="0" w:line="240" w:lineRule="auto"/>
        <w:ind w:left="1530" w:hanging="630"/>
        <w:jc w:val="both"/>
        <w:rPr>
          <w:rFonts w:ascii="Trebuchet MS" w:hAnsi="Trebuchet MS"/>
        </w:rPr>
      </w:pPr>
      <w:r w:rsidRPr="005E5593">
        <w:rPr>
          <w:rFonts w:ascii="Trebuchet MS" w:hAnsi="Trebuchet MS"/>
        </w:rPr>
        <w:lastRenderedPageBreak/>
        <w:t>Periodical review of invoices and submission of exception report to the bank(s), fortnightly review of production / supplies (quantities of work certified) vis-à-vis inventory consumption records and cash flow to contractor, sub-contractors and vendors, wastages, extent of rework and quality non conformities raised by company, and highlight exceptions. A single review report will be released each fortnight for invoices raised and inventory consumed in that period.</w:t>
      </w:r>
    </w:p>
    <w:p w:rsidR="002D063E" w:rsidRPr="005E5593" w:rsidRDefault="002D063E" w:rsidP="002D063E">
      <w:pPr>
        <w:pStyle w:val="ListParagraph"/>
        <w:numPr>
          <w:ilvl w:val="0"/>
          <w:numId w:val="1"/>
        </w:numPr>
        <w:autoSpaceDE w:val="0"/>
        <w:autoSpaceDN w:val="0"/>
        <w:adjustRightInd w:val="0"/>
        <w:spacing w:after="0" w:line="240" w:lineRule="auto"/>
        <w:ind w:left="1530" w:hanging="630"/>
        <w:rPr>
          <w:rFonts w:ascii="Trebuchet MS" w:hAnsi="Trebuchet MS"/>
        </w:rPr>
      </w:pPr>
      <w:r w:rsidRPr="005E5593">
        <w:rPr>
          <w:rFonts w:ascii="Trebuchet MS" w:hAnsi="Trebuchet MS"/>
        </w:rPr>
        <w:t>Suggestions, if any, for improving the project management practices.</w:t>
      </w:r>
    </w:p>
    <w:p w:rsidR="002D063E" w:rsidRPr="005E5593" w:rsidRDefault="002D063E" w:rsidP="002D063E">
      <w:pPr>
        <w:pStyle w:val="ListParagraph"/>
        <w:numPr>
          <w:ilvl w:val="0"/>
          <w:numId w:val="1"/>
        </w:numPr>
        <w:autoSpaceDE w:val="0"/>
        <w:autoSpaceDN w:val="0"/>
        <w:adjustRightInd w:val="0"/>
        <w:spacing w:after="0" w:line="240" w:lineRule="auto"/>
        <w:ind w:left="1530" w:hanging="630"/>
        <w:rPr>
          <w:rFonts w:ascii="Trebuchet MS" w:hAnsi="Trebuchet MS"/>
        </w:rPr>
      </w:pPr>
      <w:r w:rsidRPr="005E5593">
        <w:rPr>
          <w:rFonts w:ascii="Trebuchet MS" w:hAnsi="Trebuchet MS"/>
        </w:rPr>
        <w:t>Verification/analysis of following is to be done by ASM-</w:t>
      </w:r>
    </w:p>
    <w:p w:rsidR="002D063E" w:rsidRPr="005E5593" w:rsidRDefault="002D063E" w:rsidP="002D063E">
      <w:pPr>
        <w:pStyle w:val="ListParagraph"/>
        <w:numPr>
          <w:ilvl w:val="0"/>
          <w:numId w:val="3"/>
        </w:numPr>
        <w:autoSpaceDE w:val="0"/>
        <w:autoSpaceDN w:val="0"/>
        <w:adjustRightInd w:val="0"/>
        <w:spacing w:after="0" w:line="240" w:lineRule="auto"/>
        <w:ind w:left="2160" w:hanging="630"/>
        <w:rPr>
          <w:rFonts w:ascii="Trebuchet MS" w:hAnsi="Trebuchet MS"/>
        </w:rPr>
      </w:pPr>
      <w:r w:rsidRPr="005E5593">
        <w:rPr>
          <w:rFonts w:ascii="Trebuchet MS" w:hAnsi="Trebuchet MS"/>
        </w:rPr>
        <w:t>Approval/clearances/compliances in the project</w:t>
      </w:r>
    </w:p>
    <w:p w:rsidR="002D063E" w:rsidRPr="005E5593" w:rsidRDefault="002D063E" w:rsidP="002D063E">
      <w:pPr>
        <w:pStyle w:val="ListParagraph"/>
        <w:numPr>
          <w:ilvl w:val="0"/>
          <w:numId w:val="3"/>
        </w:numPr>
        <w:autoSpaceDE w:val="0"/>
        <w:autoSpaceDN w:val="0"/>
        <w:adjustRightInd w:val="0"/>
        <w:spacing w:after="0" w:line="240" w:lineRule="auto"/>
        <w:ind w:left="2160" w:hanging="630"/>
        <w:jc w:val="both"/>
        <w:rPr>
          <w:rFonts w:ascii="Trebuchet MS" w:hAnsi="Trebuchet MS"/>
        </w:rPr>
      </w:pPr>
      <w:r w:rsidRPr="005E5593">
        <w:rPr>
          <w:rFonts w:ascii="Trebuchet MS" w:hAnsi="Trebuchet MS"/>
        </w:rPr>
        <w:t>Analysis of government letters/ instructions / audit report /Independent Engineer’s report insurance/reports submitted to government.</w:t>
      </w:r>
    </w:p>
    <w:p w:rsidR="002D063E" w:rsidRPr="005E5593" w:rsidRDefault="002D063E" w:rsidP="002D063E">
      <w:pPr>
        <w:pStyle w:val="ListParagraph"/>
        <w:numPr>
          <w:ilvl w:val="0"/>
          <w:numId w:val="1"/>
        </w:numPr>
        <w:autoSpaceDE w:val="0"/>
        <w:autoSpaceDN w:val="0"/>
        <w:adjustRightInd w:val="0"/>
        <w:spacing w:after="0" w:line="240" w:lineRule="auto"/>
        <w:ind w:left="1530" w:hanging="630"/>
        <w:rPr>
          <w:rFonts w:ascii="Trebuchet MS" w:hAnsi="Trebuchet MS"/>
        </w:rPr>
      </w:pPr>
      <w:r w:rsidRPr="005E5593">
        <w:rPr>
          <w:rFonts w:ascii="Trebuchet MS" w:hAnsi="Trebuchet MS"/>
        </w:rPr>
        <w:t>Sources of capital fund infusion /Term Borrowing/any other borrowing</w:t>
      </w:r>
    </w:p>
    <w:p w:rsidR="002D063E" w:rsidRPr="005E5593" w:rsidRDefault="002D063E" w:rsidP="002D063E">
      <w:pPr>
        <w:pStyle w:val="ListParagraph"/>
        <w:numPr>
          <w:ilvl w:val="0"/>
          <w:numId w:val="1"/>
        </w:numPr>
        <w:autoSpaceDE w:val="0"/>
        <w:autoSpaceDN w:val="0"/>
        <w:adjustRightInd w:val="0"/>
        <w:spacing w:after="0" w:line="240" w:lineRule="auto"/>
        <w:ind w:left="1530" w:hanging="630"/>
        <w:rPr>
          <w:rFonts w:ascii="Trebuchet MS" w:hAnsi="Trebuchet MS"/>
        </w:rPr>
      </w:pPr>
      <w:r w:rsidRPr="005E5593">
        <w:rPr>
          <w:rFonts w:ascii="Trebuchet MS" w:hAnsi="Trebuchet MS"/>
        </w:rPr>
        <w:t>Physical progress of project vis-à-vis fund infusion.</w:t>
      </w:r>
    </w:p>
    <w:p w:rsidR="002D063E" w:rsidRPr="005E5593" w:rsidRDefault="002D063E" w:rsidP="002D063E">
      <w:pPr>
        <w:pStyle w:val="ListParagraph"/>
        <w:numPr>
          <w:ilvl w:val="0"/>
          <w:numId w:val="1"/>
        </w:numPr>
        <w:autoSpaceDE w:val="0"/>
        <w:autoSpaceDN w:val="0"/>
        <w:adjustRightInd w:val="0"/>
        <w:spacing w:after="0" w:line="240" w:lineRule="auto"/>
        <w:ind w:left="1530" w:hanging="630"/>
        <w:jc w:val="both"/>
        <w:rPr>
          <w:rFonts w:ascii="Trebuchet MS" w:hAnsi="Trebuchet MS"/>
        </w:rPr>
      </w:pPr>
      <w:r w:rsidRPr="005E5593">
        <w:rPr>
          <w:rFonts w:ascii="Trebuchet MS" w:hAnsi="Trebuchet MS"/>
        </w:rPr>
        <w:t xml:space="preserve">Although the proposed empanelment will be for a period of 3 years, the agency once engaged by the bank for specific monitoring may continue beyond 3 years, provided there is no negative feature of the agency noticed during the course of the assignment </w:t>
      </w:r>
    </w:p>
    <w:p w:rsidR="002D063E" w:rsidRPr="005E5593" w:rsidRDefault="002D063E" w:rsidP="002D063E">
      <w:pPr>
        <w:pStyle w:val="ListParagraph"/>
        <w:numPr>
          <w:ilvl w:val="0"/>
          <w:numId w:val="1"/>
        </w:numPr>
        <w:autoSpaceDE w:val="0"/>
        <w:autoSpaceDN w:val="0"/>
        <w:adjustRightInd w:val="0"/>
        <w:spacing w:after="0" w:line="240" w:lineRule="auto"/>
        <w:ind w:left="1530" w:hanging="630"/>
        <w:jc w:val="both"/>
        <w:rPr>
          <w:rFonts w:ascii="Trebuchet MS" w:hAnsi="Trebuchet MS"/>
        </w:rPr>
      </w:pPr>
      <w:r w:rsidRPr="005E5593">
        <w:rPr>
          <w:rFonts w:ascii="Trebuchet MS" w:hAnsi="Trebuchet MS"/>
        </w:rPr>
        <w:t>Perform such other services as requested by the lenders and mutually agreed to by the party and lenders.</w:t>
      </w:r>
    </w:p>
    <w:p w:rsidR="002D063E" w:rsidRPr="005E5593" w:rsidRDefault="002D063E" w:rsidP="002D063E">
      <w:pPr>
        <w:tabs>
          <w:tab w:val="left" w:pos="0"/>
        </w:tabs>
        <w:autoSpaceDE w:val="0"/>
        <w:autoSpaceDN w:val="0"/>
        <w:adjustRightInd w:val="0"/>
        <w:spacing w:after="0" w:line="240" w:lineRule="auto"/>
        <w:ind w:left="1530" w:hanging="630"/>
        <w:jc w:val="both"/>
        <w:rPr>
          <w:rFonts w:ascii="Trebuchet MS" w:hAnsi="Trebuchet MS"/>
        </w:rPr>
      </w:pPr>
    </w:p>
    <w:p w:rsidR="002D063E" w:rsidRPr="002D063E" w:rsidRDefault="002D063E" w:rsidP="002D063E">
      <w:pPr>
        <w:spacing w:after="0" w:line="240" w:lineRule="auto"/>
        <w:rPr>
          <w:rFonts w:ascii="Trebuchet MS" w:hAnsi="Trebuchet MS"/>
          <w:b/>
          <w:sz w:val="24"/>
          <w:szCs w:val="24"/>
          <w:u w:val="single"/>
        </w:rPr>
      </w:pPr>
      <w:r w:rsidRPr="002D063E">
        <w:rPr>
          <w:rFonts w:ascii="Trebuchet MS" w:hAnsi="Trebuchet MS"/>
          <w:b/>
          <w:sz w:val="24"/>
          <w:szCs w:val="24"/>
          <w:u w:val="single"/>
        </w:rPr>
        <w:t>Timeline for submission of Report:</w:t>
      </w:r>
    </w:p>
    <w:p w:rsidR="002D063E" w:rsidRPr="005E5593" w:rsidRDefault="002D063E" w:rsidP="002D063E">
      <w:pPr>
        <w:spacing w:after="0" w:line="240" w:lineRule="auto"/>
        <w:jc w:val="both"/>
        <w:rPr>
          <w:rFonts w:ascii="Trebuchet MS" w:hAnsi="Trebuchet MS"/>
        </w:rPr>
      </w:pPr>
      <w:r w:rsidRPr="005E5593">
        <w:rPr>
          <w:rFonts w:ascii="Trebuchet MS" w:hAnsi="Trebuchet MS"/>
        </w:rPr>
        <w:t>On quarterly basis</w:t>
      </w:r>
    </w:p>
    <w:p w:rsidR="002D063E" w:rsidRDefault="002D063E" w:rsidP="002D063E">
      <w:pPr>
        <w:spacing w:after="0" w:line="240" w:lineRule="auto"/>
        <w:rPr>
          <w:rFonts w:ascii="Trebuchet MS" w:hAnsi="Trebuchet MS"/>
          <w:b/>
          <w:sz w:val="24"/>
          <w:szCs w:val="24"/>
          <w:u w:val="single"/>
        </w:rPr>
      </w:pPr>
    </w:p>
    <w:p w:rsidR="002D063E" w:rsidRDefault="002D063E" w:rsidP="002D063E">
      <w:pPr>
        <w:spacing w:after="0" w:line="240" w:lineRule="auto"/>
        <w:rPr>
          <w:rFonts w:ascii="Trebuchet MS" w:hAnsi="Trebuchet MS" w:cs="CIDFont+F4"/>
          <w:b/>
          <w:sz w:val="24"/>
          <w:szCs w:val="24"/>
          <w:u w:val="single"/>
        </w:rPr>
      </w:pPr>
      <w:r w:rsidRPr="002D063E">
        <w:rPr>
          <w:rFonts w:ascii="Trebuchet MS" w:hAnsi="Trebuchet MS"/>
          <w:b/>
          <w:sz w:val="24"/>
          <w:szCs w:val="24"/>
          <w:u w:val="single"/>
        </w:rPr>
        <w:t>Applicability</w:t>
      </w:r>
      <w:r w:rsidRPr="002D063E">
        <w:rPr>
          <w:rFonts w:ascii="Trebuchet MS" w:hAnsi="Trebuchet MS" w:cs="CIDFont+F4"/>
          <w:b/>
          <w:sz w:val="24"/>
          <w:szCs w:val="24"/>
          <w:u w:val="single"/>
        </w:rPr>
        <w:t>:</w:t>
      </w:r>
    </w:p>
    <w:p w:rsidR="002D063E" w:rsidRDefault="002D063E" w:rsidP="002D063E">
      <w:pPr>
        <w:autoSpaceDE w:val="0"/>
        <w:autoSpaceDN w:val="0"/>
        <w:adjustRightInd w:val="0"/>
        <w:spacing w:after="0" w:line="240" w:lineRule="auto"/>
        <w:jc w:val="both"/>
        <w:rPr>
          <w:rFonts w:ascii="Trebuchet MS" w:hAnsi="Trebuchet MS"/>
        </w:rPr>
      </w:pPr>
      <w:r w:rsidRPr="005E5593">
        <w:rPr>
          <w:rFonts w:ascii="Trebuchet MS" w:hAnsi="Trebuchet MS"/>
        </w:rPr>
        <w:t xml:space="preserve">In view of the utility of ASMs in today’s scenario, the services of ASMs are to be utilized for large value loans by bank under sole/multiple/consortium banking arrangement for monitoring. In case the </w:t>
      </w:r>
      <w:proofErr w:type="spellStart"/>
      <w:r w:rsidRPr="005E5593">
        <w:rPr>
          <w:rFonts w:ascii="Trebuchet MS" w:hAnsi="Trebuchet MS"/>
        </w:rPr>
        <w:t>borrowal</w:t>
      </w:r>
      <w:proofErr w:type="spellEnd"/>
      <w:r w:rsidRPr="005E5593">
        <w:rPr>
          <w:rFonts w:ascii="Trebuchet MS" w:hAnsi="Trebuchet MS"/>
        </w:rPr>
        <w:t xml:space="preserve"> account is having large exposure i.e. more than Rs.250 crore, ASMs are to be appointed by the Lead Bank on common engagement basis after discussion in the consortium meeting. In cases where the sanctioned facility is more than Rs.250 crore under Consortium Banking Arrangement respective Credit Head to take up with the Consortium Lead Bank/FI for appointment of ASM in the particular account, after due deliberations in the consortium meeting.</w:t>
      </w:r>
    </w:p>
    <w:p w:rsidR="002D063E" w:rsidRPr="002D063E" w:rsidRDefault="002D063E" w:rsidP="002D063E">
      <w:pPr>
        <w:autoSpaceDE w:val="0"/>
        <w:autoSpaceDN w:val="0"/>
        <w:adjustRightInd w:val="0"/>
        <w:spacing w:after="0" w:line="240" w:lineRule="auto"/>
        <w:jc w:val="both"/>
        <w:rPr>
          <w:rFonts w:ascii="Trebuchet MS" w:hAnsi="Trebuchet MS"/>
          <w:u w:val="single"/>
        </w:rPr>
      </w:pPr>
    </w:p>
    <w:p w:rsidR="002D063E" w:rsidRDefault="002D063E" w:rsidP="002D063E">
      <w:pPr>
        <w:spacing w:after="0" w:line="240" w:lineRule="auto"/>
        <w:rPr>
          <w:rFonts w:ascii="Trebuchet MS" w:hAnsi="Trebuchet MS"/>
          <w:b/>
          <w:sz w:val="24"/>
          <w:szCs w:val="24"/>
          <w:u w:val="single"/>
        </w:rPr>
      </w:pPr>
      <w:r w:rsidRPr="002D063E">
        <w:rPr>
          <w:rFonts w:ascii="Trebuchet MS" w:hAnsi="Trebuchet MS"/>
          <w:b/>
          <w:sz w:val="24"/>
          <w:szCs w:val="24"/>
          <w:u w:val="single"/>
        </w:rPr>
        <w:t>Eligibility Criteria</w:t>
      </w:r>
      <w:r>
        <w:rPr>
          <w:rFonts w:ascii="Trebuchet MS" w:hAnsi="Trebuchet MS"/>
          <w:b/>
          <w:sz w:val="24"/>
          <w:szCs w:val="24"/>
          <w:u w:val="single"/>
        </w:rPr>
        <w:t>, Qualification, Affiliation</w:t>
      </w:r>
      <w:r w:rsidRPr="002D063E">
        <w:rPr>
          <w:rFonts w:ascii="Trebuchet MS" w:hAnsi="Trebuchet MS"/>
          <w:b/>
          <w:sz w:val="24"/>
          <w:szCs w:val="24"/>
          <w:u w:val="single"/>
        </w:rPr>
        <w:t>:</w:t>
      </w:r>
    </w:p>
    <w:p w:rsidR="002D063E" w:rsidRPr="005E5593" w:rsidRDefault="002D063E" w:rsidP="002D063E">
      <w:pPr>
        <w:autoSpaceDE w:val="0"/>
        <w:autoSpaceDN w:val="0"/>
        <w:adjustRightInd w:val="0"/>
        <w:spacing w:after="0" w:line="240" w:lineRule="auto"/>
        <w:jc w:val="both"/>
        <w:rPr>
          <w:rFonts w:ascii="Trebuchet MS" w:hAnsi="Trebuchet MS"/>
        </w:rPr>
      </w:pPr>
      <w:r w:rsidRPr="005E5593">
        <w:rPr>
          <w:rFonts w:ascii="Trebuchet MS" w:hAnsi="Trebuchet MS"/>
        </w:rPr>
        <w:t xml:space="preserve">The Firms, Companies and Organizations should have been in the active list of empanelment for ASM with IBA. IBA has prescribed following eligibility criteria for engagement of ASM in its panel. </w:t>
      </w:r>
    </w:p>
    <w:p w:rsidR="002D063E" w:rsidRPr="005E5593" w:rsidRDefault="002D063E" w:rsidP="002D063E">
      <w:pPr>
        <w:pStyle w:val="ListParagraph"/>
        <w:numPr>
          <w:ilvl w:val="0"/>
          <w:numId w:val="5"/>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Firms, Companies and Organizations Having at least 2 qualified Engineers, Advocates and Chartered Accountants / Cost Accountants each as Members/employees &amp; must be Registered with the Income Tax Authorities, Bar Council of respective state, Institute of Chartered Accountants of India (ICAI) / The Institute of Cost Accountants of India respectively as members with experience of minimum 3 years in finance related assignments, preferably having exposure in handling Stock audits, cash flow audits, forensic audits and similar other finance related assignments</w:t>
      </w:r>
      <w:r>
        <w:rPr>
          <w:rFonts w:ascii="Trebuchet MS" w:hAnsi="Trebuchet MS"/>
        </w:rPr>
        <w:t xml:space="preserve">. </w:t>
      </w:r>
      <w:r w:rsidRPr="005E5593">
        <w:rPr>
          <w:rFonts w:ascii="Trebuchet MS" w:hAnsi="Trebuchet MS"/>
        </w:rPr>
        <w:t xml:space="preserve"> </w:t>
      </w:r>
    </w:p>
    <w:p w:rsidR="002D063E" w:rsidRDefault="002D063E" w:rsidP="002D063E">
      <w:pPr>
        <w:pStyle w:val="ListParagraph"/>
        <w:numPr>
          <w:ilvl w:val="0"/>
          <w:numId w:val="5"/>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 xml:space="preserve">Firms / Corporates / Organization who display professional competence in handling such assignments and having satisfactory track record. </w:t>
      </w:r>
    </w:p>
    <w:p w:rsidR="002D063E" w:rsidRPr="005E5593" w:rsidRDefault="002D063E" w:rsidP="002D063E">
      <w:pPr>
        <w:pStyle w:val="ListParagraph"/>
        <w:numPr>
          <w:ilvl w:val="0"/>
          <w:numId w:val="5"/>
        </w:numPr>
        <w:autoSpaceDE w:val="0"/>
        <w:autoSpaceDN w:val="0"/>
        <w:adjustRightInd w:val="0"/>
        <w:spacing w:after="0" w:line="240" w:lineRule="auto"/>
        <w:ind w:left="990" w:hanging="630"/>
        <w:jc w:val="both"/>
        <w:rPr>
          <w:rFonts w:ascii="Trebuchet MS" w:hAnsi="Trebuchet MS"/>
        </w:rPr>
      </w:pPr>
      <w:r>
        <w:rPr>
          <w:rFonts w:ascii="Trebuchet MS" w:hAnsi="Trebuchet MS"/>
        </w:rPr>
        <w:t xml:space="preserve">Partnership Firms/ LLPs with at least 5 members having turnover of minimum Rs.5.00 crores for last three years and having minimum 2 years’ experience as ASM of large companies. </w:t>
      </w:r>
    </w:p>
    <w:p w:rsidR="002D063E" w:rsidRPr="005E5593" w:rsidRDefault="002D063E" w:rsidP="002D063E">
      <w:pPr>
        <w:pStyle w:val="ListParagraph"/>
        <w:numPr>
          <w:ilvl w:val="0"/>
          <w:numId w:val="5"/>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 xml:space="preserve">Having unblemished track record and should not have been blacklisted by any financial Institution / other organizations / any government department. The </w:t>
      </w:r>
      <w:r w:rsidRPr="005E5593">
        <w:rPr>
          <w:rFonts w:ascii="Trebuchet MS" w:hAnsi="Trebuchet MS"/>
        </w:rPr>
        <w:lastRenderedPageBreak/>
        <w:t xml:space="preserve">Firms, Companies and Organizations should furnish self-attested affidavit in this regard </w:t>
      </w:r>
    </w:p>
    <w:p w:rsidR="002D063E" w:rsidRPr="005E5593" w:rsidRDefault="002D063E" w:rsidP="002D063E">
      <w:pPr>
        <w:pStyle w:val="ListParagraph"/>
        <w:numPr>
          <w:ilvl w:val="0"/>
          <w:numId w:val="5"/>
        </w:numPr>
        <w:autoSpaceDE w:val="0"/>
        <w:autoSpaceDN w:val="0"/>
        <w:adjustRightInd w:val="0"/>
        <w:spacing w:after="0" w:line="240" w:lineRule="auto"/>
        <w:ind w:left="990" w:hanging="630"/>
        <w:rPr>
          <w:rFonts w:ascii="Trebuchet MS" w:hAnsi="Trebuchet MS"/>
        </w:rPr>
      </w:pPr>
      <w:r w:rsidRPr="005E5593">
        <w:rPr>
          <w:rFonts w:ascii="Trebuchet MS" w:hAnsi="Trebuchet MS"/>
        </w:rPr>
        <w:t xml:space="preserve">Should have office at any major </w:t>
      </w:r>
      <w:proofErr w:type="spellStart"/>
      <w:r w:rsidRPr="005E5593">
        <w:rPr>
          <w:rFonts w:ascii="Trebuchet MS" w:hAnsi="Trebuchet MS"/>
        </w:rPr>
        <w:t>centers</w:t>
      </w:r>
      <w:proofErr w:type="spellEnd"/>
      <w:r w:rsidRPr="005E5593">
        <w:rPr>
          <w:rFonts w:ascii="Trebuchet MS" w:hAnsi="Trebuchet MS"/>
        </w:rPr>
        <w:t xml:space="preserve"> of the country </w:t>
      </w:r>
    </w:p>
    <w:p w:rsidR="002D063E" w:rsidRPr="005E5593" w:rsidRDefault="002D063E" w:rsidP="002D063E">
      <w:pPr>
        <w:pStyle w:val="ListParagraph"/>
        <w:numPr>
          <w:ilvl w:val="0"/>
          <w:numId w:val="5"/>
        </w:numPr>
        <w:autoSpaceDE w:val="0"/>
        <w:autoSpaceDN w:val="0"/>
        <w:adjustRightInd w:val="0"/>
        <w:spacing w:after="0" w:line="240" w:lineRule="auto"/>
        <w:ind w:left="990" w:hanging="630"/>
        <w:jc w:val="both"/>
        <w:rPr>
          <w:rFonts w:ascii="Trebuchet MS" w:hAnsi="Trebuchet MS"/>
        </w:rPr>
      </w:pPr>
      <w:r w:rsidRPr="005E5593">
        <w:rPr>
          <w:rFonts w:ascii="Trebuchet MS" w:hAnsi="Trebuchet MS"/>
        </w:rPr>
        <w:t xml:space="preserve">The name of the Firm/Company or its promoter/partner etc. should not be in the defaulters/barred/caution list published/displayed at websites of public bodies such as by RBI/IBA/ECGC/SEBI/CICs etc. </w:t>
      </w:r>
    </w:p>
    <w:p w:rsidR="002D063E" w:rsidRDefault="002D063E" w:rsidP="002D063E">
      <w:pPr>
        <w:autoSpaceDE w:val="0"/>
        <w:autoSpaceDN w:val="0"/>
        <w:adjustRightInd w:val="0"/>
        <w:spacing w:after="0" w:line="240" w:lineRule="auto"/>
        <w:jc w:val="both"/>
        <w:rPr>
          <w:rFonts w:ascii="Trebuchet MS" w:hAnsi="Trebuchet MS"/>
        </w:rPr>
      </w:pPr>
    </w:p>
    <w:p w:rsidR="00A67B9C" w:rsidRDefault="00A67B9C" w:rsidP="00A67B9C">
      <w:pPr>
        <w:spacing w:after="0" w:line="240" w:lineRule="auto"/>
        <w:ind w:left="360" w:hanging="630"/>
        <w:jc w:val="both"/>
        <w:rPr>
          <w:rFonts w:ascii="Trebuchet MS" w:hAnsi="Trebuchet MS"/>
        </w:rPr>
      </w:pPr>
    </w:p>
    <w:p w:rsidR="00A67B9C" w:rsidRPr="00A67B9C" w:rsidRDefault="00A67B9C" w:rsidP="00A67B9C">
      <w:pPr>
        <w:spacing w:after="0" w:line="240" w:lineRule="auto"/>
        <w:rPr>
          <w:rFonts w:ascii="Trebuchet MS" w:hAnsi="Trebuchet MS"/>
          <w:b/>
          <w:sz w:val="24"/>
          <w:szCs w:val="24"/>
          <w:u w:val="single"/>
        </w:rPr>
      </w:pPr>
      <w:r w:rsidRPr="00A67B9C">
        <w:rPr>
          <w:rFonts w:ascii="Trebuchet MS" w:hAnsi="Trebuchet MS"/>
          <w:b/>
          <w:sz w:val="24"/>
          <w:szCs w:val="24"/>
          <w:u w:val="single"/>
        </w:rPr>
        <w:t>Process of Empanelment:</w:t>
      </w:r>
    </w:p>
    <w:p w:rsidR="00A67B9C" w:rsidRPr="005E5593" w:rsidRDefault="00A67B9C" w:rsidP="00A67B9C">
      <w:pPr>
        <w:pStyle w:val="ListParagraph"/>
        <w:numPr>
          <w:ilvl w:val="0"/>
          <w:numId w:val="6"/>
        </w:numPr>
        <w:spacing w:after="0" w:line="240" w:lineRule="auto"/>
        <w:ind w:left="1170" w:right="72" w:hanging="630"/>
        <w:jc w:val="both"/>
        <w:rPr>
          <w:rFonts w:ascii="Trebuchet MS" w:hAnsi="Trebuchet MS"/>
        </w:rPr>
      </w:pPr>
      <w:r w:rsidRPr="005E5593">
        <w:rPr>
          <w:rFonts w:ascii="Trebuchet MS" w:hAnsi="Trebuchet MS"/>
        </w:rPr>
        <w:t>Application will be invited from interested applicants for empanelment as ASMs who are appearing in the empaneled list on the IBA website.</w:t>
      </w:r>
    </w:p>
    <w:p w:rsidR="00A67B9C" w:rsidRPr="005E5593" w:rsidRDefault="00A67B9C" w:rsidP="00A67B9C">
      <w:pPr>
        <w:pStyle w:val="ListParagraph"/>
        <w:numPr>
          <w:ilvl w:val="0"/>
          <w:numId w:val="6"/>
        </w:numPr>
        <w:spacing w:after="0" w:line="240" w:lineRule="auto"/>
        <w:ind w:left="1170" w:right="72" w:hanging="630"/>
        <w:jc w:val="both"/>
        <w:rPr>
          <w:rFonts w:ascii="Trebuchet MS" w:hAnsi="Trebuchet MS"/>
        </w:rPr>
      </w:pPr>
      <w:r w:rsidRPr="005E5593">
        <w:rPr>
          <w:rFonts w:ascii="Trebuchet MS" w:hAnsi="Trebuchet MS"/>
        </w:rPr>
        <w:t>The intending ASMs shall submit the application form along with other relevant enclosures / documents etc. as required under this document to the concerned Advances Department of the Zonal Office.</w:t>
      </w:r>
    </w:p>
    <w:p w:rsidR="00A67B9C" w:rsidRDefault="00A67B9C" w:rsidP="00A67B9C">
      <w:pPr>
        <w:pStyle w:val="ListParagraph"/>
        <w:numPr>
          <w:ilvl w:val="0"/>
          <w:numId w:val="6"/>
        </w:numPr>
        <w:spacing w:after="0" w:line="240" w:lineRule="auto"/>
        <w:ind w:left="1170" w:right="68" w:hanging="630"/>
        <w:jc w:val="both"/>
        <w:rPr>
          <w:rFonts w:ascii="Trebuchet MS" w:hAnsi="Trebuchet MS"/>
        </w:rPr>
      </w:pPr>
      <w:r w:rsidRPr="005E5593">
        <w:rPr>
          <w:rFonts w:ascii="Trebuchet MS" w:hAnsi="Trebuchet MS"/>
        </w:rPr>
        <w:t>Once a decision to empanel or otherwise is taken, a letter of empanelment in duplicate shall be sent to the ASM.</w:t>
      </w:r>
    </w:p>
    <w:p w:rsidR="00A67B9C" w:rsidRPr="005E5593" w:rsidRDefault="00A67B9C" w:rsidP="00A67B9C">
      <w:pPr>
        <w:pStyle w:val="ListParagraph"/>
        <w:spacing w:after="0" w:line="240" w:lineRule="auto"/>
        <w:ind w:left="1170" w:right="68"/>
        <w:jc w:val="both"/>
        <w:rPr>
          <w:rFonts w:ascii="Trebuchet MS" w:hAnsi="Trebuchet MS"/>
        </w:rPr>
      </w:pPr>
    </w:p>
    <w:p w:rsidR="00A67B9C" w:rsidRPr="00A67B9C" w:rsidRDefault="00A67B9C" w:rsidP="00A67B9C">
      <w:pPr>
        <w:spacing w:after="0" w:line="240" w:lineRule="auto"/>
        <w:rPr>
          <w:rFonts w:ascii="Trebuchet MS" w:hAnsi="Trebuchet MS"/>
          <w:b/>
          <w:sz w:val="24"/>
          <w:szCs w:val="24"/>
          <w:u w:val="single"/>
        </w:rPr>
      </w:pPr>
      <w:r w:rsidRPr="00A67B9C">
        <w:rPr>
          <w:rFonts w:ascii="Trebuchet MS" w:hAnsi="Trebuchet MS"/>
          <w:b/>
          <w:sz w:val="24"/>
          <w:szCs w:val="24"/>
          <w:u w:val="single"/>
        </w:rPr>
        <w:t>Empanelment / Validity:</w:t>
      </w:r>
    </w:p>
    <w:p w:rsidR="00A67B9C" w:rsidRPr="005E5593" w:rsidRDefault="00A67B9C" w:rsidP="00A67B9C">
      <w:pPr>
        <w:pStyle w:val="ListParagraph"/>
        <w:numPr>
          <w:ilvl w:val="0"/>
          <w:numId w:val="7"/>
        </w:numPr>
        <w:spacing w:after="0" w:line="240" w:lineRule="auto"/>
        <w:ind w:left="1170" w:right="67" w:hanging="630"/>
        <w:jc w:val="both"/>
        <w:rPr>
          <w:rFonts w:ascii="Trebuchet MS" w:hAnsi="Trebuchet MS"/>
        </w:rPr>
      </w:pPr>
      <w:r w:rsidRPr="005E5593">
        <w:rPr>
          <w:rFonts w:ascii="Trebuchet MS" w:hAnsi="Trebuchet MS"/>
        </w:rPr>
        <w:t>The tenure of the empanelment shall be for 03 (three) years from the date of empanelment (date of issue of letter to respective individual / firm / company).</w:t>
      </w:r>
    </w:p>
    <w:p w:rsidR="00A67B9C" w:rsidRPr="005E5593" w:rsidRDefault="00A67B9C" w:rsidP="00A67B9C">
      <w:pPr>
        <w:pStyle w:val="ListParagraph"/>
        <w:numPr>
          <w:ilvl w:val="0"/>
          <w:numId w:val="7"/>
        </w:numPr>
        <w:spacing w:after="0" w:line="240" w:lineRule="auto"/>
        <w:ind w:left="1170" w:right="67" w:hanging="630"/>
        <w:jc w:val="both"/>
        <w:rPr>
          <w:rFonts w:ascii="Trebuchet MS" w:hAnsi="Trebuchet MS"/>
        </w:rPr>
      </w:pPr>
      <w:r w:rsidRPr="005E5593">
        <w:rPr>
          <w:rFonts w:ascii="Trebuchet MS" w:hAnsi="Trebuchet MS"/>
        </w:rPr>
        <w:t>In respect of ASM who has completed 3 years of empanelment and wish to continue, the entity should approach the bank at least 3 months before the expiry of the term of empanelment.</w:t>
      </w:r>
    </w:p>
    <w:p w:rsidR="00A67B9C" w:rsidRPr="005E5593" w:rsidRDefault="00A67B9C" w:rsidP="00A67B9C">
      <w:pPr>
        <w:pStyle w:val="ListParagraph"/>
        <w:numPr>
          <w:ilvl w:val="0"/>
          <w:numId w:val="7"/>
        </w:numPr>
        <w:spacing w:after="0" w:line="240" w:lineRule="auto"/>
        <w:ind w:left="1170" w:right="67" w:hanging="630"/>
        <w:jc w:val="both"/>
        <w:rPr>
          <w:rFonts w:ascii="Trebuchet MS" w:hAnsi="Trebuchet MS"/>
        </w:rPr>
      </w:pPr>
      <w:r w:rsidRPr="005E5593">
        <w:rPr>
          <w:rFonts w:ascii="Trebuchet MS" w:hAnsi="Trebuchet MS"/>
        </w:rPr>
        <w:t>Bank shall carry out review exercise at the time of renewal, based on performance along with necessary information which the ASM will have to furnish to the Bank as and when called for. For renewal of empanelment of the ASM, Bank and the empanelled entity shall follow the same process as applicable to a fresh empanelment.</w:t>
      </w:r>
    </w:p>
    <w:p w:rsidR="00A67B9C" w:rsidRDefault="00A67B9C" w:rsidP="00A67B9C">
      <w:pPr>
        <w:pStyle w:val="ListParagraph"/>
        <w:numPr>
          <w:ilvl w:val="0"/>
          <w:numId w:val="7"/>
        </w:numPr>
        <w:spacing w:after="0" w:line="240" w:lineRule="auto"/>
        <w:ind w:left="1170" w:right="67" w:hanging="630"/>
        <w:jc w:val="both"/>
        <w:rPr>
          <w:rFonts w:ascii="Trebuchet MS" w:hAnsi="Trebuchet MS"/>
        </w:rPr>
      </w:pPr>
      <w:r w:rsidRPr="005E5593">
        <w:rPr>
          <w:rFonts w:ascii="Trebuchet MS" w:hAnsi="Trebuchet MS"/>
        </w:rPr>
        <w:t>Bank res</w:t>
      </w:r>
      <w:bookmarkStart w:id="0" w:name="_GoBack"/>
      <w:bookmarkEnd w:id="0"/>
      <w:r w:rsidRPr="005E5593">
        <w:rPr>
          <w:rFonts w:ascii="Trebuchet MS" w:hAnsi="Trebuchet MS"/>
        </w:rPr>
        <w:t>erves the right to remove any ASM from the panel any time after giving 15 days’ notice even before completion of 3 years.</w:t>
      </w:r>
    </w:p>
    <w:p w:rsidR="002D063E" w:rsidRPr="005E5593" w:rsidRDefault="002D063E" w:rsidP="002D063E">
      <w:pPr>
        <w:autoSpaceDE w:val="0"/>
        <w:autoSpaceDN w:val="0"/>
        <w:adjustRightInd w:val="0"/>
        <w:spacing w:after="0" w:line="240" w:lineRule="auto"/>
        <w:ind w:left="360"/>
        <w:jc w:val="both"/>
        <w:rPr>
          <w:rFonts w:ascii="Trebuchet MS" w:hAnsi="Trebuchet MS"/>
        </w:rPr>
      </w:pPr>
    </w:p>
    <w:p w:rsidR="00D7437E" w:rsidRDefault="00D7437E"/>
    <w:sectPr w:rsidR="00D743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IDFont+F4">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3782"/>
    <w:multiLevelType w:val="hybridMultilevel"/>
    <w:tmpl w:val="841A6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461AC"/>
    <w:multiLevelType w:val="hybridMultilevel"/>
    <w:tmpl w:val="7DB86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1B2434"/>
    <w:multiLevelType w:val="hybridMultilevel"/>
    <w:tmpl w:val="500EAAA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85464A"/>
    <w:multiLevelType w:val="hybridMultilevel"/>
    <w:tmpl w:val="969EA8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4925DB"/>
    <w:multiLevelType w:val="hybridMultilevel"/>
    <w:tmpl w:val="EF24C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937EE5"/>
    <w:multiLevelType w:val="hybridMultilevel"/>
    <w:tmpl w:val="1AACA572"/>
    <w:lvl w:ilvl="0" w:tplc="A8EE3DB4">
      <w:start w:val="1"/>
      <w:numFmt w:val="lowerRoman"/>
      <w:lvlText w:val="%1."/>
      <w:lvlJc w:val="right"/>
      <w:pPr>
        <w:ind w:left="726" w:hanging="360"/>
      </w:pPr>
      <w:rPr>
        <w:b w:val="0"/>
      </w:rPr>
    </w:lvl>
    <w:lvl w:ilvl="1" w:tplc="40090019" w:tentative="1">
      <w:start w:val="1"/>
      <w:numFmt w:val="lowerLetter"/>
      <w:lvlText w:val="%2."/>
      <w:lvlJc w:val="left"/>
      <w:pPr>
        <w:ind w:left="1446" w:hanging="360"/>
      </w:pPr>
    </w:lvl>
    <w:lvl w:ilvl="2" w:tplc="4009001B" w:tentative="1">
      <w:start w:val="1"/>
      <w:numFmt w:val="lowerRoman"/>
      <w:lvlText w:val="%3."/>
      <w:lvlJc w:val="right"/>
      <w:pPr>
        <w:ind w:left="2166" w:hanging="180"/>
      </w:pPr>
    </w:lvl>
    <w:lvl w:ilvl="3" w:tplc="4009000F" w:tentative="1">
      <w:start w:val="1"/>
      <w:numFmt w:val="decimal"/>
      <w:lvlText w:val="%4."/>
      <w:lvlJc w:val="left"/>
      <w:pPr>
        <w:ind w:left="2886" w:hanging="360"/>
      </w:pPr>
    </w:lvl>
    <w:lvl w:ilvl="4" w:tplc="40090019" w:tentative="1">
      <w:start w:val="1"/>
      <w:numFmt w:val="lowerLetter"/>
      <w:lvlText w:val="%5."/>
      <w:lvlJc w:val="left"/>
      <w:pPr>
        <w:ind w:left="3606" w:hanging="360"/>
      </w:pPr>
    </w:lvl>
    <w:lvl w:ilvl="5" w:tplc="4009001B" w:tentative="1">
      <w:start w:val="1"/>
      <w:numFmt w:val="lowerRoman"/>
      <w:lvlText w:val="%6."/>
      <w:lvlJc w:val="right"/>
      <w:pPr>
        <w:ind w:left="4326" w:hanging="180"/>
      </w:pPr>
    </w:lvl>
    <w:lvl w:ilvl="6" w:tplc="4009000F" w:tentative="1">
      <w:start w:val="1"/>
      <w:numFmt w:val="decimal"/>
      <w:lvlText w:val="%7."/>
      <w:lvlJc w:val="left"/>
      <w:pPr>
        <w:ind w:left="5046" w:hanging="360"/>
      </w:pPr>
    </w:lvl>
    <w:lvl w:ilvl="7" w:tplc="40090019" w:tentative="1">
      <w:start w:val="1"/>
      <w:numFmt w:val="lowerLetter"/>
      <w:lvlText w:val="%8."/>
      <w:lvlJc w:val="left"/>
      <w:pPr>
        <w:ind w:left="5766" w:hanging="360"/>
      </w:pPr>
    </w:lvl>
    <w:lvl w:ilvl="8" w:tplc="4009001B" w:tentative="1">
      <w:start w:val="1"/>
      <w:numFmt w:val="lowerRoman"/>
      <w:lvlText w:val="%9."/>
      <w:lvlJc w:val="right"/>
      <w:pPr>
        <w:ind w:left="6486" w:hanging="180"/>
      </w:pPr>
    </w:lvl>
  </w:abstractNum>
  <w:abstractNum w:abstractNumId="6" w15:restartNumberingAfterBreak="0">
    <w:nsid w:val="6ED36C15"/>
    <w:multiLevelType w:val="hybridMultilevel"/>
    <w:tmpl w:val="802467A6"/>
    <w:lvl w:ilvl="0" w:tplc="4009001B">
      <w:start w:val="1"/>
      <w:numFmt w:val="lowerRoman"/>
      <w:lvlText w:val="%1."/>
      <w:lvlJc w:val="right"/>
      <w:pPr>
        <w:ind w:left="725" w:hanging="360"/>
      </w:pPr>
    </w:lvl>
    <w:lvl w:ilvl="1" w:tplc="40090019" w:tentative="1">
      <w:start w:val="1"/>
      <w:numFmt w:val="lowerLetter"/>
      <w:lvlText w:val="%2."/>
      <w:lvlJc w:val="left"/>
      <w:pPr>
        <w:ind w:left="1445" w:hanging="360"/>
      </w:pPr>
    </w:lvl>
    <w:lvl w:ilvl="2" w:tplc="4009001B" w:tentative="1">
      <w:start w:val="1"/>
      <w:numFmt w:val="lowerRoman"/>
      <w:lvlText w:val="%3."/>
      <w:lvlJc w:val="right"/>
      <w:pPr>
        <w:ind w:left="2165" w:hanging="180"/>
      </w:pPr>
    </w:lvl>
    <w:lvl w:ilvl="3" w:tplc="4009000F" w:tentative="1">
      <w:start w:val="1"/>
      <w:numFmt w:val="decimal"/>
      <w:lvlText w:val="%4."/>
      <w:lvlJc w:val="left"/>
      <w:pPr>
        <w:ind w:left="2885" w:hanging="360"/>
      </w:pPr>
    </w:lvl>
    <w:lvl w:ilvl="4" w:tplc="40090019" w:tentative="1">
      <w:start w:val="1"/>
      <w:numFmt w:val="lowerLetter"/>
      <w:lvlText w:val="%5."/>
      <w:lvlJc w:val="left"/>
      <w:pPr>
        <w:ind w:left="3605" w:hanging="360"/>
      </w:pPr>
    </w:lvl>
    <w:lvl w:ilvl="5" w:tplc="4009001B" w:tentative="1">
      <w:start w:val="1"/>
      <w:numFmt w:val="lowerRoman"/>
      <w:lvlText w:val="%6."/>
      <w:lvlJc w:val="right"/>
      <w:pPr>
        <w:ind w:left="4325" w:hanging="180"/>
      </w:pPr>
    </w:lvl>
    <w:lvl w:ilvl="6" w:tplc="4009000F" w:tentative="1">
      <w:start w:val="1"/>
      <w:numFmt w:val="decimal"/>
      <w:lvlText w:val="%7."/>
      <w:lvlJc w:val="left"/>
      <w:pPr>
        <w:ind w:left="5045" w:hanging="360"/>
      </w:pPr>
    </w:lvl>
    <w:lvl w:ilvl="7" w:tplc="40090019" w:tentative="1">
      <w:start w:val="1"/>
      <w:numFmt w:val="lowerLetter"/>
      <w:lvlText w:val="%8."/>
      <w:lvlJc w:val="left"/>
      <w:pPr>
        <w:ind w:left="5765" w:hanging="360"/>
      </w:pPr>
    </w:lvl>
    <w:lvl w:ilvl="8" w:tplc="4009001B" w:tentative="1">
      <w:start w:val="1"/>
      <w:numFmt w:val="lowerRoman"/>
      <w:lvlText w:val="%9."/>
      <w:lvlJc w:val="right"/>
      <w:pPr>
        <w:ind w:left="6485" w:hanging="180"/>
      </w:pPr>
    </w:lvl>
  </w:abstractNum>
  <w:num w:numId="1">
    <w:abstractNumId w:val="0"/>
  </w:num>
  <w:num w:numId="2">
    <w:abstractNumId w:val="3"/>
  </w:num>
  <w:num w:numId="3">
    <w:abstractNumId w:val="1"/>
  </w:num>
  <w:num w:numId="4">
    <w:abstractNumId w:val="4"/>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3E"/>
    <w:rsid w:val="002D063E"/>
    <w:rsid w:val="00A67B9C"/>
    <w:rsid w:val="00D7437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363027-5F44-4B81-8DE7-F08697FF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63E"/>
    <w:pPr>
      <w:spacing w:after="200" w:line="276" w:lineRule="auto"/>
    </w:pPr>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nnexure,Figure_name,List Paragraph1,heading 9,Heading 91,WinDForce-Letter,Bullets,bullets,Heading 911,Heading 9111,Heading 91111,Heading 911111,List Paragraph2,Report Para,Colorful List - Accent 11,Medium Grid 1 - Accent 21,Bullet 0,Ha"/>
    <w:basedOn w:val="Normal"/>
    <w:link w:val="ListParagraphChar"/>
    <w:uiPriority w:val="34"/>
    <w:qFormat/>
    <w:rsid w:val="002D063E"/>
    <w:pPr>
      <w:ind w:left="720"/>
      <w:contextualSpacing/>
    </w:pPr>
  </w:style>
  <w:style w:type="character" w:customStyle="1" w:styleId="ListParagraphChar">
    <w:name w:val="List Paragraph Char"/>
    <w:aliases w:val="Annexure Char,Figure_name Char,List Paragraph1 Char,heading 9 Char,Heading 91 Char,WinDForce-Letter Char,Bullets Char,bullets Char,Heading 911 Char,Heading 9111 Char,Heading 91111 Char,Heading 911111 Char,List Paragraph2 Char,Ha Char"/>
    <w:basedOn w:val="DefaultParagraphFont"/>
    <w:link w:val="ListParagraph"/>
    <w:uiPriority w:val="34"/>
    <w:qFormat/>
    <w:rsid w:val="002D063E"/>
    <w:rPr>
      <w:rFonts w:eastAsiaTheme="minorEastAsia"/>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Iftikhar Ahmad Khan</dc:creator>
  <cp:keywords/>
  <dc:description/>
  <cp:lastModifiedBy>Iftikhar Ahmad Khan</cp:lastModifiedBy>
  <cp:revision>1</cp:revision>
  <dcterms:created xsi:type="dcterms:W3CDTF">2024-03-27T06:18:00Z</dcterms:created>
  <dcterms:modified xsi:type="dcterms:W3CDTF">2024-03-27T06:31:00Z</dcterms:modified>
</cp:coreProperties>
</file>