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CAE" w:rsidRDefault="00283CAE" w:rsidP="00283CAE">
      <w:pPr>
        <w:spacing w:after="0"/>
        <w:ind w:right="-603"/>
        <w:jc w:val="center"/>
        <w:rPr>
          <w:rFonts w:ascii="Trebuchet MS" w:eastAsia="Calibri" w:hAnsi="Trebuchet MS" w:cs="Arial"/>
          <w:b/>
          <w:sz w:val="28"/>
          <w:szCs w:val="24"/>
          <w:u w:val="single"/>
        </w:rPr>
      </w:pPr>
      <w:r w:rsidRPr="00283CAE">
        <w:rPr>
          <w:rFonts w:ascii="Trebuchet MS" w:eastAsia="Calibri" w:hAnsi="Trebuchet MS" w:cs="Arial"/>
          <w:b/>
          <w:sz w:val="28"/>
          <w:szCs w:val="24"/>
          <w:u w:val="single"/>
        </w:rPr>
        <w:t>Empanelment of Concurrent Auditors in J&amp;K Bank</w:t>
      </w:r>
      <w:r>
        <w:rPr>
          <w:rFonts w:ascii="Trebuchet MS" w:eastAsia="Calibri" w:hAnsi="Trebuchet MS" w:cs="Arial"/>
          <w:b/>
          <w:sz w:val="28"/>
          <w:szCs w:val="24"/>
          <w:u w:val="single"/>
        </w:rPr>
        <w:t xml:space="preserve"> </w:t>
      </w:r>
      <w:r w:rsidRPr="00283CAE">
        <w:rPr>
          <w:rFonts w:ascii="Trebuchet MS" w:eastAsia="Calibri" w:hAnsi="Trebuchet MS" w:cs="Arial"/>
          <w:b/>
          <w:sz w:val="28"/>
          <w:szCs w:val="24"/>
          <w:u w:val="single"/>
        </w:rPr>
        <w:t>for</w:t>
      </w:r>
    </w:p>
    <w:p w:rsidR="00283CAE" w:rsidRDefault="00BC195B" w:rsidP="00283CAE">
      <w:pPr>
        <w:spacing w:after="0"/>
        <w:ind w:right="-603"/>
        <w:jc w:val="center"/>
        <w:rPr>
          <w:rFonts w:ascii="Trebuchet MS" w:eastAsia="Calibri" w:hAnsi="Trebuchet MS" w:cs="Arial"/>
          <w:b/>
          <w:sz w:val="28"/>
          <w:szCs w:val="24"/>
          <w:u w:val="single"/>
        </w:rPr>
      </w:pPr>
      <w:r>
        <w:rPr>
          <w:rFonts w:ascii="Trebuchet MS" w:eastAsia="Calibri" w:hAnsi="Trebuchet MS" w:cs="Arial"/>
          <w:b/>
          <w:sz w:val="28"/>
          <w:szCs w:val="24"/>
          <w:u w:val="single"/>
        </w:rPr>
        <w:t>FY 20</w:t>
      </w:r>
      <w:r w:rsidR="00283CAE" w:rsidRPr="00283CAE">
        <w:rPr>
          <w:rFonts w:ascii="Trebuchet MS" w:eastAsia="Calibri" w:hAnsi="Trebuchet MS" w:cs="Arial"/>
          <w:b/>
          <w:sz w:val="28"/>
          <w:szCs w:val="24"/>
          <w:u w:val="single"/>
        </w:rPr>
        <w:t>24</w:t>
      </w:r>
      <w:r>
        <w:rPr>
          <w:rFonts w:ascii="Trebuchet MS" w:eastAsia="Calibri" w:hAnsi="Trebuchet MS" w:cs="Arial"/>
          <w:b/>
          <w:sz w:val="28"/>
          <w:szCs w:val="24"/>
          <w:u w:val="single"/>
        </w:rPr>
        <w:t>-25</w:t>
      </w:r>
    </w:p>
    <w:p w:rsidR="00C3589A" w:rsidRDefault="00C3589A" w:rsidP="00283CAE">
      <w:pPr>
        <w:spacing w:after="0"/>
        <w:ind w:right="-603"/>
        <w:jc w:val="center"/>
        <w:rPr>
          <w:rFonts w:ascii="Trebuchet MS" w:eastAsia="Calibri" w:hAnsi="Trebuchet MS" w:cs="Arial"/>
          <w:b/>
          <w:sz w:val="28"/>
          <w:szCs w:val="24"/>
          <w:u w:val="single"/>
        </w:rPr>
      </w:pPr>
    </w:p>
    <w:p w:rsidR="00283CAE" w:rsidRPr="00266AC0" w:rsidRDefault="00283CAE" w:rsidP="00283CAE">
      <w:pPr>
        <w:spacing w:after="0"/>
        <w:ind w:right="-603"/>
        <w:rPr>
          <w:rFonts w:ascii="Trebuchet MS" w:eastAsia="Calibri" w:hAnsi="Trebuchet MS" w:cs="Arial"/>
          <w:b/>
          <w:sz w:val="24"/>
          <w:szCs w:val="24"/>
          <w:u w:val="single"/>
        </w:rPr>
      </w:pPr>
    </w:p>
    <w:p w:rsidR="00C3589A" w:rsidRDefault="00283CAE" w:rsidP="00C3589A">
      <w:pPr>
        <w:pStyle w:val="ListParagraph"/>
        <w:numPr>
          <w:ilvl w:val="0"/>
          <w:numId w:val="4"/>
        </w:numPr>
        <w:spacing w:after="0"/>
        <w:ind w:left="426" w:hanging="426"/>
        <w:jc w:val="both"/>
        <w:rPr>
          <w:rFonts w:ascii="Interstate-Bold" w:hAnsi="Interstate-Bold"/>
          <w:sz w:val="24"/>
          <w:szCs w:val="24"/>
          <w:u w:val="single"/>
        </w:rPr>
      </w:pPr>
      <w:r w:rsidRPr="00C3589A">
        <w:rPr>
          <w:rFonts w:ascii="Interstate-Bold" w:hAnsi="Interstate-Bold"/>
          <w:b/>
          <w:sz w:val="24"/>
          <w:szCs w:val="24"/>
          <w:u w:val="single"/>
        </w:rPr>
        <w:t>Eligibility Criteria For Chartered/Cost Accountant (CA Firms):</w:t>
      </w:r>
      <w:r w:rsidRPr="00C3589A">
        <w:rPr>
          <w:rFonts w:ascii="Interstate-Bold" w:hAnsi="Interstate-Bold"/>
          <w:sz w:val="24"/>
          <w:szCs w:val="24"/>
          <w:u w:val="single"/>
        </w:rPr>
        <w:t xml:space="preserve"> </w:t>
      </w:r>
    </w:p>
    <w:p w:rsidR="00283CAE" w:rsidRPr="00C3589A" w:rsidRDefault="00283CAE" w:rsidP="00C3589A">
      <w:pPr>
        <w:pStyle w:val="ListParagraph"/>
        <w:spacing w:after="0"/>
        <w:ind w:left="426"/>
        <w:jc w:val="both"/>
        <w:rPr>
          <w:rFonts w:ascii="Interstate-Bold" w:hAnsi="Interstate-Bold"/>
          <w:sz w:val="24"/>
          <w:szCs w:val="24"/>
          <w:u w:val="single"/>
        </w:rPr>
      </w:pPr>
      <w:r w:rsidRPr="00C3589A">
        <w:rPr>
          <w:rFonts w:ascii="Interstate-Bold" w:hAnsi="Interstate-Bold"/>
          <w:sz w:val="24"/>
          <w:szCs w:val="24"/>
          <w:u w:val="single"/>
        </w:rPr>
        <w:t xml:space="preserve"> </w:t>
      </w:r>
    </w:p>
    <w:p w:rsidR="00BC195B" w:rsidRPr="00E566B0" w:rsidRDefault="00BC195B" w:rsidP="00BC195B">
      <w:pPr>
        <w:pStyle w:val="ListParagraph"/>
        <w:numPr>
          <w:ilvl w:val="0"/>
          <w:numId w:val="1"/>
        </w:numPr>
        <w:autoSpaceDE w:val="0"/>
        <w:autoSpaceDN w:val="0"/>
        <w:adjustRightInd w:val="0"/>
        <w:spacing w:after="0" w:line="240" w:lineRule="auto"/>
        <w:ind w:left="567" w:hanging="425"/>
        <w:jc w:val="both"/>
        <w:rPr>
          <w:rFonts w:ascii="Trebuchet MS" w:hAnsi="Trebuchet MS"/>
        </w:rPr>
      </w:pPr>
      <w:r w:rsidRPr="00E566B0">
        <w:rPr>
          <w:rFonts w:ascii="Interstate-Bold" w:hAnsi="Interstate-Bold"/>
          <w:b/>
        </w:rPr>
        <w:t>Constitution:</w:t>
      </w:r>
      <w:r w:rsidRPr="00E566B0">
        <w:rPr>
          <w:rFonts w:ascii="Trebuchet MS" w:hAnsi="Trebuchet MS"/>
        </w:rPr>
        <w:t xml:space="preserve"> </w:t>
      </w:r>
      <w:r w:rsidRPr="00E566B0">
        <w:rPr>
          <w:rFonts w:ascii="Interstate-Regular" w:hAnsi="Interstate-Regular"/>
        </w:rPr>
        <w:t>- It should be a Limited liability partnership firm/sole proprietorship firm having minimum of one partner as FCA.</w:t>
      </w:r>
      <w:r w:rsidRPr="00E566B0">
        <w:rPr>
          <w:rFonts w:ascii="Trebuchet MS" w:hAnsi="Trebuchet MS"/>
        </w:rPr>
        <w:t xml:space="preserve"> </w:t>
      </w:r>
    </w:p>
    <w:p w:rsidR="00BC195B" w:rsidRPr="00E566B0" w:rsidRDefault="00BC195B" w:rsidP="00BC195B">
      <w:pPr>
        <w:pStyle w:val="ListParagraph"/>
        <w:numPr>
          <w:ilvl w:val="0"/>
          <w:numId w:val="1"/>
        </w:numPr>
        <w:autoSpaceDE w:val="0"/>
        <w:autoSpaceDN w:val="0"/>
        <w:adjustRightInd w:val="0"/>
        <w:spacing w:after="0" w:line="240" w:lineRule="auto"/>
        <w:ind w:left="567" w:hanging="425"/>
        <w:jc w:val="both"/>
        <w:rPr>
          <w:rFonts w:ascii="Trebuchet MS" w:hAnsi="Trebuchet MS"/>
        </w:rPr>
      </w:pPr>
      <w:r w:rsidRPr="00E566B0">
        <w:rPr>
          <w:rFonts w:ascii="Interstate-Bold" w:hAnsi="Interstate-Bold"/>
          <w:b/>
        </w:rPr>
        <w:t>Efficacy of Manpower</w:t>
      </w:r>
      <w:r>
        <w:rPr>
          <w:rFonts w:ascii="Interstate-Bold" w:hAnsi="Interstate-Bold"/>
          <w:b/>
        </w:rPr>
        <w:t xml:space="preserve"> </w:t>
      </w:r>
      <w:r w:rsidRPr="00E566B0">
        <w:rPr>
          <w:rFonts w:ascii="Interstate-Bold" w:hAnsi="Interstate-Bold"/>
          <w:b/>
        </w:rPr>
        <w:t>&amp; their Skill Levels:</w:t>
      </w:r>
      <w:r w:rsidRPr="00E566B0">
        <w:rPr>
          <w:rFonts w:ascii="Trebuchet MS" w:hAnsi="Trebuchet MS"/>
        </w:rPr>
        <w:t xml:space="preserve"> - </w:t>
      </w:r>
      <w:r w:rsidRPr="00E566B0">
        <w:rPr>
          <w:rFonts w:ascii="Interstate-Bold" w:hAnsi="Interstate-Bold"/>
        </w:rPr>
        <w:t xml:space="preserve">It must have sufficient manpower with requisite skill levels and infrastructure to conduct the audit in a professional and specialized </w:t>
      </w:r>
      <w:r w:rsidRPr="00E4474C">
        <w:rPr>
          <w:rFonts w:ascii="Interstate-Bold" w:hAnsi="Interstate-Bold"/>
        </w:rPr>
        <w:t xml:space="preserve">manner </w:t>
      </w:r>
      <w:r w:rsidRPr="00F03209">
        <w:rPr>
          <w:rFonts w:ascii="Interstate-Bold" w:hAnsi="Interstate-Bold"/>
        </w:rPr>
        <w:t>as per the manpower</w:t>
      </w:r>
      <w:r w:rsidRPr="00F03209">
        <w:rPr>
          <w:rFonts w:ascii="Trebuchet MS" w:hAnsi="Trebuchet MS"/>
        </w:rPr>
        <w:t>.</w:t>
      </w:r>
    </w:p>
    <w:p w:rsidR="00BC195B" w:rsidRDefault="00BC195B" w:rsidP="00BC195B">
      <w:pPr>
        <w:pStyle w:val="ListParagraph"/>
        <w:numPr>
          <w:ilvl w:val="0"/>
          <w:numId w:val="1"/>
        </w:numPr>
        <w:autoSpaceDE w:val="0"/>
        <w:autoSpaceDN w:val="0"/>
        <w:adjustRightInd w:val="0"/>
        <w:spacing w:after="0" w:line="240" w:lineRule="auto"/>
        <w:ind w:left="567" w:hanging="425"/>
        <w:jc w:val="both"/>
        <w:rPr>
          <w:rFonts w:ascii="Trebuchet MS" w:hAnsi="Trebuchet MS"/>
        </w:rPr>
      </w:pPr>
      <w:r w:rsidRPr="00E566B0">
        <w:rPr>
          <w:rFonts w:ascii="Interstate-Bold" w:hAnsi="Interstate-Bold"/>
          <w:b/>
        </w:rPr>
        <w:t>Not Delisted/</w:t>
      </w:r>
      <w:proofErr w:type="spellStart"/>
      <w:r w:rsidRPr="00E566B0">
        <w:rPr>
          <w:rFonts w:ascii="Interstate-Bold" w:hAnsi="Interstate-Bold"/>
          <w:b/>
        </w:rPr>
        <w:t>depanelled</w:t>
      </w:r>
      <w:proofErr w:type="spellEnd"/>
      <w:r w:rsidRPr="00E566B0">
        <w:rPr>
          <w:rFonts w:ascii="Interstate-Bold" w:hAnsi="Interstate-Bold"/>
          <w:b/>
        </w:rPr>
        <w:t xml:space="preserve"> by any Bank/Financial Institution</w:t>
      </w:r>
      <w:r w:rsidRPr="00E566B0">
        <w:rPr>
          <w:rFonts w:ascii="Trebuchet MS" w:hAnsi="Trebuchet MS"/>
        </w:rPr>
        <w:t xml:space="preserve">: - </w:t>
      </w:r>
      <w:r w:rsidRPr="00E566B0">
        <w:rPr>
          <w:rFonts w:ascii="Interstate-Bold" w:hAnsi="Interstate-Bold"/>
        </w:rPr>
        <w:t xml:space="preserve">The firm should not be on the </w:t>
      </w:r>
      <w:proofErr w:type="spellStart"/>
      <w:r w:rsidRPr="00E566B0">
        <w:rPr>
          <w:rFonts w:ascii="Interstate-Bold" w:hAnsi="Interstate-Bold"/>
        </w:rPr>
        <w:t>depanelled</w:t>
      </w:r>
      <w:proofErr w:type="spellEnd"/>
      <w:r w:rsidRPr="00E566B0">
        <w:rPr>
          <w:rFonts w:ascii="Interstate-Bold" w:hAnsi="Interstate-Bold"/>
        </w:rPr>
        <w:t xml:space="preserve"> list of the ICAI/RBI</w:t>
      </w:r>
      <w:r>
        <w:rPr>
          <w:rFonts w:ascii="Interstate-Bold" w:hAnsi="Interstate-Bold"/>
        </w:rPr>
        <w:t>/IBA/NFRA</w:t>
      </w:r>
      <w:r w:rsidRPr="00E566B0">
        <w:rPr>
          <w:rFonts w:ascii="Interstate-Bold" w:hAnsi="Interstate-Bold"/>
        </w:rPr>
        <w:t xml:space="preserve"> or </w:t>
      </w:r>
      <w:r w:rsidRPr="00E4474C">
        <w:rPr>
          <w:rFonts w:ascii="Interstate-Bold" w:hAnsi="Interstate-Bold"/>
        </w:rPr>
        <w:t>delisted by any bank/financial institution</w:t>
      </w:r>
      <w:r w:rsidRPr="00E4474C">
        <w:rPr>
          <w:rFonts w:ascii="Trebuchet MS" w:hAnsi="Trebuchet MS"/>
        </w:rPr>
        <w:t>.</w:t>
      </w:r>
    </w:p>
    <w:p w:rsidR="00BC195B" w:rsidRPr="00E4474C" w:rsidRDefault="00BC195B" w:rsidP="00BC195B">
      <w:pPr>
        <w:pStyle w:val="ListParagraph"/>
        <w:numPr>
          <w:ilvl w:val="0"/>
          <w:numId w:val="1"/>
        </w:numPr>
        <w:autoSpaceDE w:val="0"/>
        <w:autoSpaceDN w:val="0"/>
        <w:adjustRightInd w:val="0"/>
        <w:spacing w:after="0" w:line="240" w:lineRule="auto"/>
        <w:ind w:left="567" w:hanging="425"/>
        <w:jc w:val="both"/>
        <w:rPr>
          <w:rFonts w:ascii="Trebuchet MS" w:hAnsi="Trebuchet MS"/>
        </w:rPr>
      </w:pPr>
      <w:r>
        <w:rPr>
          <w:rFonts w:ascii="Interstate-Bold" w:hAnsi="Interstate-Bold"/>
          <w:b/>
        </w:rPr>
        <w:t xml:space="preserve"> </w:t>
      </w:r>
      <w:r w:rsidRPr="00E566B0">
        <w:rPr>
          <w:rFonts w:ascii="Interstate-Bold" w:hAnsi="Interstate-Bold"/>
          <w:b/>
        </w:rPr>
        <w:t>Certificate Course on Concurrent Audit (CCCA) of Banks):</w:t>
      </w:r>
      <w:r w:rsidRPr="00E566B0">
        <w:rPr>
          <w:rFonts w:ascii="Trebuchet MS" w:hAnsi="Trebuchet MS"/>
        </w:rPr>
        <w:t xml:space="preserve"> - </w:t>
      </w:r>
      <w:r w:rsidRPr="00E566B0">
        <w:rPr>
          <w:rFonts w:ascii="Interstate-Regular" w:hAnsi="Interstate-Regular"/>
        </w:rPr>
        <w:t>The firm must have sufficient CCCA qualified manpower to carry out the Concurrent Audit</w:t>
      </w:r>
      <w:r>
        <w:rPr>
          <w:rFonts w:ascii="Interstate-Regular" w:hAnsi="Interstate-Regular"/>
        </w:rPr>
        <w:t>.</w:t>
      </w:r>
    </w:p>
    <w:p w:rsidR="00BC195B" w:rsidRPr="00E566B0" w:rsidRDefault="00BC195B" w:rsidP="00BC195B">
      <w:pPr>
        <w:pStyle w:val="ListParagraph"/>
        <w:numPr>
          <w:ilvl w:val="0"/>
          <w:numId w:val="1"/>
        </w:numPr>
        <w:autoSpaceDE w:val="0"/>
        <w:autoSpaceDN w:val="0"/>
        <w:adjustRightInd w:val="0"/>
        <w:spacing w:after="0" w:line="240" w:lineRule="auto"/>
        <w:ind w:left="567" w:hanging="425"/>
        <w:jc w:val="both"/>
        <w:rPr>
          <w:rFonts w:ascii="Trebuchet MS" w:hAnsi="Trebuchet MS"/>
        </w:rPr>
      </w:pPr>
      <w:r w:rsidRPr="00E566B0">
        <w:rPr>
          <w:rFonts w:ascii="Interstate-Bold" w:hAnsi="Interstate-Bold"/>
          <w:b/>
        </w:rPr>
        <w:t>Ex-bankers as Staff/Partners Preferred</w:t>
      </w:r>
      <w:r w:rsidRPr="00E566B0">
        <w:rPr>
          <w:rFonts w:ascii="Trebuchet MS" w:hAnsi="Trebuchet MS"/>
          <w:b/>
        </w:rPr>
        <w:t>:</w:t>
      </w:r>
      <w:r w:rsidRPr="00E566B0">
        <w:rPr>
          <w:rFonts w:ascii="Trebuchet MS" w:hAnsi="Trebuchet MS"/>
        </w:rPr>
        <w:t xml:space="preserve"> - </w:t>
      </w:r>
      <w:r w:rsidRPr="00E566B0">
        <w:rPr>
          <w:rFonts w:ascii="Interstate-Regular" w:hAnsi="Interstate-Regular"/>
        </w:rPr>
        <w:t>Weightage /preference to be given to the firms where the partners themselves are ex-bankers or the firm has got tie-up with ex-bankers with requisite banking experience and exposure</w:t>
      </w:r>
      <w:r w:rsidRPr="00E566B0">
        <w:rPr>
          <w:rFonts w:ascii="Trebuchet MS" w:hAnsi="Trebuchet MS"/>
        </w:rPr>
        <w:t>.</w:t>
      </w:r>
    </w:p>
    <w:p w:rsidR="00BC195B" w:rsidRPr="00E566B0" w:rsidRDefault="00BC195B" w:rsidP="00BC195B">
      <w:pPr>
        <w:pStyle w:val="ListParagraph"/>
        <w:numPr>
          <w:ilvl w:val="0"/>
          <w:numId w:val="1"/>
        </w:numPr>
        <w:autoSpaceDE w:val="0"/>
        <w:autoSpaceDN w:val="0"/>
        <w:adjustRightInd w:val="0"/>
        <w:spacing w:after="0" w:line="240" w:lineRule="auto"/>
        <w:ind w:left="567" w:hanging="425"/>
        <w:jc w:val="both"/>
        <w:rPr>
          <w:rFonts w:ascii="Interstate-Regular" w:hAnsi="Interstate-Regular"/>
        </w:rPr>
      </w:pPr>
      <w:r w:rsidRPr="00E566B0">
        <w:rPr>
          <w:rFonts w:ascii="Interstate-Bold" w:hAnsi="Interstate-Bold"/>
          <w:b/>
        </w:rPr>
        <w:t>Not associated with Banks Statutory Audit:</w:t>
      </w:r>
      <w:r w:rsidRPr="00E566B0">
        <w:rPr>
          <w:rFonts w:ascii="Trebuchet MS" w:hAnsi="Trebuchet MS"/>
          <w:b/>
        </w:rPr>
        <w:t xml:space="preserve"> -</w:t>
      </w:r>
      <w:r w:rsidRPr="00E566B0">
        <w:rPr>
          <w:rFonts w:ascii="Trebuchet MS" w:hAnsi="Trebuchet MS"/>
        </w:rPr>
        <w:t xml:space="preserve"> </w:t>
      </w:r>
      <w:r w:rsidRPr="00E566B0">
        <w:rPr>
          <w:rFonts w:ascii="Interstate-Regular" w:hAnsi="Interstate-Regular"/>
        </w:rPr>
        <w:t xml:space="preserve">It is to be ensured that the audit firm or any sister / associate concern / network firm is not conducting the Statutory Audit of the Bank or any of its </w:t>
      </w:r>
      <w:r w:rsidRPr="003048EB">
        <w:rPr>
          <w:rFonts w:ascii="Interstate-Regular" w:hAnsi="Interstate-Regular" w:cs="Calibri"/>
        </w:rPr>
        <w:t>branch</w:t>
      </w:r>
      <w:r>
        <w:rPr>
          <w:rFonts w:ascii="Interstate-Regular" w:hAnsi="Interstate-Regular" w:cs="Calibri"/>
        </w:rPr>
        <w:t>e</w:t>
      </w:r>
      <w:r w:rsidRPr="00E566B0">
        <w:rPr>
          <w:rFonts w:ascii="Interstate-Regular" w:hAnsi="Interstate-Regular"/>
        </w:rPr>
        <w:t>s.</w:t>
      </w:r>
    </w:p>
    <w:p w:rsidR="00BC195B" w:rsidRPr="00E566B0" w:rsidRDefault="00BC195B" w:rsidP="00BC195B">
      <w:pPr>
        <w:pStyle w:val="ListParagraph"/>
        <w:numPr>
          <w:ilvl w:val="0"/>
          <w:numId w:val="1"/>
        </w:numPr>
        <w:autoSpaceDE w:val="0"/>
        <w:autoSpaceDN w:val="0"/>
        <w:adjustRightInd w:val="0"/>
        <w:spacing w:after="0" w:line="240" w:lineRule="auto"/>
        <w:ind w:left="567" w:hanging="425"/>
        <w:jc w:val="both"/>
        <w:rPr>
          <w:rFonts w:ascii="Trebuchet MS" w:hAnsi="Trebuchet MS"/>
        </w:rPr>
      </w:pPr>
      <w:r w:rsidRPr="00E566B0">
        <w:rPr>
          <w:rFonts w:ascii="Interstate-Regular" w:hAnsi="Interstate-Regular"/>
          <w:b/>
        </w:rPr>
        <w:t>Banking/Audit Experience:</w:t>
      </w:r>
      <w:r w:rsidRPr="00E566B0">
        <w:rPr>
          <w:rFonts w:ascii="Interstate-Regular" w:hAnsi="Interstate-Regular"/>
        </w:rPr>
        <w:t xml:space="preserve"> - Weightage/preference will to be given to a firm having exposure in conducting Concurrent Audit of the Bank </w:t>
      </w:r>
      <w:r w:rsidRPr="003048EB">
        <w:rPr>
          <w:rFonts w:ascii="Interstate-Regular" w:hAnsi="Interstate-Regular" w:cs="Calibri"/>
        </w:rPr>
        <w:t>branch</w:t>
      </w:r>
      <w:r>
        <w:rPr>
          <w:rFonts w:ascii="Interstate-Regular" w:hAnsi="Interstate-Regular" w:cs="Calibri"/>
        </w:rPr>
        <w:t>e</w:t>
      </w:r>
      <w:r w:rsidRPr="00E566B0">
        <w:rPr>
          <w:rFonts w:ascii="Interstate-Regular" w:hAnsi="Interstate-Regular"/>
        </w:rPr>
        <w:t>s for a few public sector / major private sector banks</w:t>
      </w:r>
      <w:r w:rsidRPr="00E566B0">
        <w:rPr>
          <w:rFonts w:ascii="Trebuchet MS" w:hAnsi="Trebuchet MS"/>
        </w:rPr>
        <w:t>.</w:t>
      </w:r>
    </w:p>
    <w:p w:rsidR="00BC195B" w:rsidRPr="00E566B0" w:rsidRDefault="00BC195B" w:rsidP="00BC195B">
      <w:pPr>
        <w:pStyle w:val="ListParagraph"/>
        <w:numPr>
          <w:ilvl w:val="0"/>
          <w:numId w:val="1"/>
        </w:numPr>
        <w:autoSpaceDE w:val="0"/>
        <w:autoSpaceDN w:val="0"/>
        <w:adjustRightInd w:val="0"/>
        <w:spacing w:after="0" w:line="240" w:lineRule="auto"/>
        <w:ind w:left="567" w:hanging="425"/>
        <w:jc w:val="both"/>
        <w:rPr>
          <w:rFonts w:ascii="Trebuchet MS" w:hAnsi="Trebuchet MS"/>
        </w:rPr>
      </w:pPr>
      <w:r w:rsidRPr="00E566B0">
        <w:rPr>
          <w:rFonts w:ascii="Interstate-Bold" w:hAnsi="Interstate-Bold"/>
          <w:b/>
        </w:rPr>
        <w:t>Availing Credit Facilities from any Bank:</w:t>
      </w:r>
      <w:r w:rsidRPr="00E566B0">
        <w:rPr>
          <w:rFonts w:ascii="Trebuchet MS" w:hAnsi="Trebuchet MS"/>
          <w:b/>
        </w:rPr>
        <w:t xml:space="preserve"> -</w:t>
      </w:r>
      <w:r w:rsidRPr="00E566B0">
        <w:rPr>
          <w:rFonts w:ascii="Trebuchet MS" w:hAnsi="Trebuchet MS"/>
        </w:rPr>
        <w:t xml:space="preserve"> </w:t>
      </w:r>
      <w:r w:rsidRPr="00E566B0">
        <w:rPr>
          <w:rFonts w:ascii="Interstate-Regular" w:hAnsi="Interstate-Regular"/>
        </w:rPr>
        <w:t xml:space="preserve">A declaration to be furnished by the firm that credit facilities availed by the firm or partners or firms in which they are partners, directors including any facility availed by a third party for which the firm or its partners are guarantors have neither turned NPAs </w:t>
      </w:r>
      <w:r w:rsidRPr="00F03209">
        <w:rPr>
          <w:rFonts w:ascii="Interstate-Regular" w:hAnsi="Interstate-Regular"/>
        </w:rPr>
        <w:t>nor are existing as non-performing assets</w:t>
      </w:r>
      <w:r w:rsidRPr="00F03209">
        <w:rPr>
          <w:rFonts w:ascii="Interstate-Regular" w:hAnsi="Interstate-Regular"/>
          <w:color w:val="FF0000"/>
        </w:rPr>
        <w:t xml:space="preserve"> </w:t>
      </w:r>
      <w:r w:rsidRPr="00E566B0">
        <w:rPr>
          <w:rFonts w:ascii="Interstate-Regular" w:hAnsi="Interstate-Regular"/>
        </w:rPr>
        <w:t xml:space="preserve">as per the prudential norms of RBI. In case the declaration is found incorrect, the assignment would get terminated besides the firm being </w:t>
      </w:r>
      <w:r>
        <w:rPr>
          <w:rFonts w:ascii="Interstate-Regular" w:hAnsi="Interstate-Regular"/>
        </w:rPr>
        <w:t>liable for action under RBI/ICAI</w:t>
      </w:r>
      <w:r w:rsidRPr="00E566B0">
        <w:rPr>
          <w:rFonts w:ascii="Interstate-Regular" w:hAnsi="Interstate-Regular"/>
        </w:rPr>
        <w:t xml:space="preserve"> guidelines.</w:t>
      </w:r>
    </w:p>
    <w:p w:rsidR="00283CAE" w:rsidRDefault="00283CAE" w:rsidP="00283CAE">
      <w:pPr>
        <w:pStyle w:val="ListParagraph"/>
        <w:autoSpaceDE w:val="0"/>
        <w:autoSpaceDN w:val="0"/>
        <w:adjustRightInd w:val="0"/>
        <w:spacing w:after="0" w:line="240" w:lineRule="auto"/>
        <w:ind w:left="426"/>
        <w:jc w:val="both"/>
        <w:rPr>
          <w:rFonts w:ascii="Interstate-Bold" w:hAnsi="Interstate-Bold"/>
          <w:b/>
        </w:rPr>
      </w:pPr>
    </w:p>
    <w:p w:rsidR="00283CAE" w:rsidRDefault="00283CAE" w:rsidP="00283CAE">
      <w:pPr>
        <w:pStyle w:val="ListParagraph"/>
        <w:autoSpaceDE w:val="0"/>
        <w:autoSpaceDN w:val="0"/>
        <w:adjustRightInd w:val="0"/>
        <w:spacing w:after="0" w:line="240" w:lineRule="auto"/>
        <w:ind w:left="426"/>
        <w:jc w:val="both"/>
        <w:rPr>
          <w:rFonts w:ascii="Interstate-Regular" w:hAnsi="Interstate-Regular"/>
        </w:rPr>
      </w:pPr>
    </w:p>
    <w:p w:rsidR="00283CAE" w:rsidRDefault="00283CAE" w:rsidP="00C3589A">
      <w:pPr>
        <w:pStyle w:val="ListParagraph"/>
        <w:numPr>
          <w:ilvl w:val="0"/>
          <w:numId w:val="4"/>
        </w:numPr>
        <w:spacing w:after="0"/>
        <w:ind w:left="426" w:hanging="426"/>
        <w:jc w:val="both"/>
        <w:rPr>
          <w:rFonts w:ascii="Interstate-Bold" w:hAnsi="Interstate-Bold"/>
          <w:b/>
          <w:sz w:val="24"/>
          <w:szCs w:val="24"/>
          <w:u w:val="single"/>
        </w:rPr>
      </w:pPr>
      <w:r w:rsidRPr="00C3589A">
        <w:rPr>
          <w:rFonts w:ascii="Interstate-Bold" w:hAnsi="Interstate-Bold"/>
          <w:b/>
          <w:sz w:val="24"/>
          <w:szCs w:val="24"/>
          <w:u w:val="single"/>
        </w:rPr>
        <w:t>Terms of Engagement of Concurrent Auditors:</w:t>
      </w:r>
    </w:p>
    <w:p w:rsidR="00C3589A" w:rsidRPr="00C3589A" w:rsidRDefault="00C3589A" w:rsidP="00C3589A">
      <w:pPr>
        <w:pStyle w:val="ListParagraph"/>
        <w:spacing w:after="0"/>
        <w:ind w:left="426"/>
        <w:jc w:val="both"/>
        <w:rPr>
          <w:rFonts w:ascii="Interstate-Bold" w:hAnsi="Interstate-Bold"/>
          <w:b/>
          <w:sz w:val="24"/>
          <w:szCs w:val="24"/>
          <w:u w:val="single"/>
        </w:rPr>
      </w:pPr>
    </w:p>
    <w:p w:rsidR="00283CAE" w:rsidRDefault="00283CAE" w:rsidP="00283CAE">
      <w:pPr>
        <w:pStyle w:val="ListParagraph"/>
        <w:tabs>
          <w:tab w:val="left" w:pos="709"/>
          <w:tab w:val="left" w:pos="851"/>
        </w:tabs>
        <w:autoSpaceDE w:val="0"/>
        <w:autoSpaceDN w:val="0"/>
        <w:adjustRightInd w:val="0"/>
        <w:spacing w:after="0"/>
        <w:ind w:left="426" w:hanging="426"/>
        <w:jc w:val="both"/>
        <w:rPr>
          <w:rFonts w:ascii="Interstate-Regular" w:hAnsi="Interstate-Regular"/>
        </w:rPr>
      </w:pPr>
      <w:r w:rsidRPr="00E566B0">
        <w:rPr>
          <w:rFonts w:ascii="Interstate-Bold" w:hAnsi="Interstate-Bold"/>
          <w:b/>
          <w:sz w:val="24"/>
          <w:szCs w:val="24"/>
        </w:rPr>
        <w:t xml:space="preserve">1). </w:t>
      </w:r>
      <w:r w:rsidR="00BC195B" w:rsidRPr="00E566B0">
        <w:rPr>
          <w:rFonts w:ascii="Interstate-Bold" w:hAnsi="Interstate-Bold"/>
          <w:b/>
          <w:sz w:val="24"/>
          <w:szCs w:val="24"/>
        </w:rPr>
        <w:t>Tenure of appointment and extension of term</w:t>
      </w:r>
      <w:r w:rsidR="00BC195B" w:rsidRPr="00E566B0">
        <w:rPr>
          <w:rFonts w:ascii="Trebuchet MS" w:hAnsi="Trebuchet MS"/>
        </w:rPr>
        <w:t xml:space="preserve">: </w:t>
      </w:r>
      <w:r w:rsidR="00BC195B" w:rsidRPr="00E566B0">
        <w:rPr>
          <w:rFonts w:ascii="Interstate-Regular" w:hAnsi="Interstate-Regular"/>
        </w:rPr>
        <w:t xml:space="preserve">The tenure of the  Concurrent Auditors shall be initially for a period of one year extendable up to three years, after which a cooling period of one year shall apply. However, the Auditors have to apply </w:t>
      </w:r>
      <w:r w:rsidR="00BC195B">
        <w:rPr>
          <w:rFonts w:ascii="Interstate-Regular" w:hAnsi="Interstate-Regular"/>
        </w:rPr>
        <w:t xml:space="preserve">a </w:t>
      </w:r>
      <w:r w:rsidR="00BC195B" w:rsidRPr="00E566B0">
        <w:rPr>
          <w:rFonts w:ascii="Interstate-Regular" w:hAnsi="Interstate-Regular"/>
        </w:rPr>
        <w:t xml:space="preserve">fresh each year. In case of retired bank officers only one </w:t>
      </w:r>
      <w:r w:rsidR="00BC195B" w:rsidRPr="003048EB">
        <w:rPr>
          <w:rFonts w:ascii="Interstate-Regular" w:hAnsi="Interstate-Regular" w:cs="Calibri"/>
        </w:rPr>
        <w:t>branch</w:t>
      </w:r>
      <w:r w:rsidR="00BC195B" w:rsidRPr="00E566B0">
        <w:rPr>
          <w:rFonts w:ascii="Interstate-Regular" w:hAnsi="Interstate-Regular"/>
        </w:rPr>
        <w:t xml:space="preserve"> or office shall be allotted to one eligible retired officer. However, the retired officer must not have worked in the allotted branch during five preceding years prior to his retirement. He shall not be retained as Concurrent Auditor for more than two years for the same </w:t>
      </w:r>
      <w:r w:rsidR="00BC195B" w:rsidRPr="003048EB">
        <w:rPr>
          <w:rFonts w:ascii="Interstate-Regular" w:hAnsi="Interstate-Regular" w:cs="Calibri"/>
        </w:rPr>
        <w:t>branch</w:t>
      </w:r>
      <w:r w:rsidR="00BC195B">
        <w:rPr>
          <w:rFonts w:ascii="Interstate-Regular" w:hAnsi="Interstate-Regular" w:cs="Calibri"/>
        </w:rPr>
        <w:t xml:space="preserve"> </w:t>
      </w:r>
      <w:r w:rsidR="00BC195B" w:rsidRPr="00E566B0">
        <w:rPr>
          <w:rFonts w:ascii="Interstate-Regular" w:hAnsi="Interstate-Regular"/>
        </w:rPr>
        <w:t>/ office but shall be rotated to other branch/office subject to condition that he / she shall not have attained the age of 69 years as on 1st August of that year.</w:t>
      </w:r>
    </w:p>
    <w:p w:rsidR="00C3589A" w:rsidRDefault="00C3589A" w:rsidP="00283CAE">
      <w:pPr>
        <w:pStyle w:val="ListParagraph"/>
        <w:tabs>
          <w:tab w:val="left" w:pos="709"/>
          <w:tab w:val="left" w:pos="851"/>
        </w:tabs>
        <w:autoSpaceDE w:val="0"/>
        <w:autoSpaceDN w:val="0"/>
        <w:adjustRightInd w:val="0"/>
        <w:spacing w:after="0"/>
        <w:ind w:left="426" w:hanging="426"/>
        <w:jc w:val="both"/>
        <w:rPr>
          <w:rFonts w:ascii="Interstate-Regular" w:hAnsi="Interstate-Regular"/>
        </w:rPr>
      </w:pPr>
    </w:p>
    <w:p w:rsidR="00C3589A" w:rsidRDefault="00C3589A" w:rsidP="00283CAE">
      <w:pPr>
        <w:pStyle w:val="ListParagraph"/>
        <w:tabs>
          <w:tab w:val="left" w:pos="709"/>
          <w:tab w:val="left" w:pos="851"/>
        </w:tabs>
        <w:autoSpaceDE w:val="0"/>
        <w:autoSpaceDN w:val="0"/>
        <w:adjustRightInd w:val="0"/>
        <w:spacing w:after="0"/>
        <w:ind w:left="426" w:hanging="426"/>
        <w:jc w:val="both"/>
        <w:rPr>
          <w:rFonts w:ascii="Interstate-Regular" w:hAnsi="Interstate-Regular"/>
        </w:rPr>
      </w:pPr>
    </w:p>
    <w:p w:rsidR="00C3589A" w:rsidRDefault="00C3589A" w:rsidP="00283CAE">
      <w:pPr>
        <w:pStyle w:val="ListParagraph"/>
        <w:tabs>
          <w:tab w:val="left" w:pos="709"/>
          <w:tab w:val="left" w:pos="851"/>
        </w:tabs>
        <w:autoSpaceDE w:val="0"/>
        <w:autoSpaceDN w:val="0"/>
        <w:adjustRightInd w:val="0"/>
        <w:spacing w:after="0"/>
        <w:ind w:left="426" w:hanging="426"/>
        <w:jc w:val="both"/>
        <w:rPr>
          <w:rFonts w:ascii="Interstate-Regular" w:hAnsi="Interstate-Regular"/>
        </w:rPr>
      </w:pPr>
    </w:p>
    <w:p w:rsidR="00C3589A" w:rsidRDefault="00C3589A" w:rsidP="00283CAE">
      <w:pPr>
        <w:pStyle w:val="ListParagraph"/>
        <w:tabs>
          <w:tab w:val="left" w:pos="709"/>
          <w:tab w:val="left" w:pos="851"/>
        </w:tabs>
        <w:autoSpaceDE w:val="0"/>
        <w:autoSpaceDN w:val="0"/>
        <w:adjustRightInd w:val="0"/>
        <w:spacing w:after="0"/>
        <w:ind w:left="426" w:hanging="426"/>
        <w:jc w:val="both"/>
        <w:rPr>
          <w:rFonts w:ascii="Interstate-Regular" w:hAnsi="Interstate-Regular"/>
        </w:rPr>
      </w:pPr>
    </w:p>
    <w:p w:rsidR="00283CAE" w:rsidRDefault="00283CAE" w:rsidP="00283CAE">
      <w:pPr>
        <w:pStyle w:val="ListParagraph"/>
        <w:tabs>
          <w:tab w:val="left" w:pos="709"/>
          <w:tab w:val="left" w:pos="851"/>
        </w:tabs>
        <w:autoSpaceDE w:val="0"/>
        <w:autoSpaceDN w:val="0"/>
        <w:adjustRightInd w:val="0"/>
        <w:spacing w:after="0"/>
        <w:ind w:left="426" w:hanging="426"/>
        <w:jc w:val="both"/>
        <w:rPr>
          <w:rFonts w:ascii="Interstate-Regular" w:hAnsi="Interstate-Regular"/>
        </w:rPr>
      </w:pPr>
    </w:p>
    <w:p w:rsidR="00BC195B" w:rsidRDefault="00283CAE" w:rsidP="00BC195B">
      <w:pPr>
        <w:pStyle w:val="ListParagraph"/>
        <w:tabs>
          <w:tab w:val="left" w:pos="900"/>
        </w:tabs>
        <w:autoSpaceDE w:val="0"/>
        <w:autoSpaceDN w:val="0"/>
        <w:adjustRightInd w:val="0"/>
        <w:spacing w:after="0" w:line="240" w:lineRule="auto"/>
        <w:ind w:left="630" w:hanging="630"/>
        <w:jc w:val="both"/>
        <w:rPr>
          <w:rFonts w:ascii="Interstate-Bold" w:hAnsi="Interstate-Bold"/>
          <w:sz w:val="24"/>
          <w:szCs w:val="24"/>
        </w:rPr>
      </w:pPr>
      <w:r w:rsidRPr="00283CAE">
        <w:rPr>
          <w:rFonts w:ascii="Interstate-Bold" w:hAnsi="Interstate-Bold"/>
          <w:b/>
          <w:sz w:val="24"/>
          <w:szCs w:val="24"/>
        </w:rPr>
        <w:lastRenderedPageBreak/>
        <w:t xml:space="preserve">2). </w:t>
      </w:r>
      <w:r w:rsidR="00BC195B" w:rsidRPr="00E566B0">
        <w:rPr>
          <w:rFonts w:ascii="Interstate-Bold" w:hAnsi="Interstate-Bold"/>
          <w:b/>
          <w:sz w:val="24"/>
          <w:szCs w:val="24"/>
          <w:u w:val="single"/>
        </w:rPr>
        <w:t xml:space="preserve">Number of </w:t>
      </w:r>
      <w:r w:rsidR="00BC195B" w:rsidRPr="00EA74F8">
        <w:rPr>
          <w:rFonts w:ascii="Interstate-Bold" w:hAnsi="Interstate-Bold"/>
          <w:b/>
          <w:sz w:val="24"/>
          <w:szCs w:val="24"/>
          <w:u w:val="single"/>
        </w:rPr>
        <w:t>branche</w:t>
      </w:r>
      <w:r w:rsidR="00BC195B" w:rsidRPr="00E566B0">
        <w:rPr>
          <w:rFonts w:ascii="Interstate-Bold" w:hAnsi="Interstate-Bold"/>
          <w:b/>
          <w:sz w:val="24"/>
          <w:szCs w:val="24"/>
          <w:u w:val="single"/>
        </w:rPr>
        <w:t>s allotted per auditor shall be as under</w:t>
      </w:r>
      <w:r w:rsidR="00BC195B" w:rsidRPr="00E566B0">
        <w:rPr>
          <w:rFonts w:ascii="Interstate-Bold" w:hAnsi="Interstate-Bold"/>
          <w:sz w:val="24"/>
          <w:szCs w:val="24"/>
        </w:rPr>
        <w:t>:</w:t>
      </w:r>
    </w:p>
    <w:p w:rsidR="00BC195B" w:rsidRPr="00E566B0" w:rsidRDefault="00BC195B" w:rsidP="00BC195B">
      <w:pPr>
        <w:pStyle w:val="ListParagraph"/>
        <w:tabs>
          <w:tab w:val="left" w:pos="900"/>
        </w:tabs>
        <w:autoSpaceDE w:val="0"/>
        <w:autoSpaceDN w:val="0"/>
        <w:adjustRightInd w:val="0"/>
        <w:spacing w:after="0" w:line="240" w:lineRule="auto"/>
        <w:ind w:left="630" w:hanging="180"/>
        <w:jc w:val="both"/>
        <w:rPr>
          <w:rFonts w:ascii="Interstate-Bold" w:hAnsi="Interstate-Bold"/>
          <w:sz w:val="24"/>
          <w:szCs w:val="24"/>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985"/>
        <w:gridCol w:w="1984"/>
        <w:gridCol w:w="1134"/>
        <w:gridCol w:w="2693"/>
      </w:tblGrid>
      <w:tr w:rsidR="00BC195B" w:rsidRPr="00E566B0" w:rsidTr="00BC195B">
        <w:trPr>
          <w:trHeight w:val="135"/>
        </w:trPr>
        <w:tc>
          <w:tcPr>
            <w:tcW w:w="1701" w:type="dxa"/>
            <w:vMerge w:val="restart"/>
            <w:shd w:val="clear" w:color="auto" w:fill="auto"/>
            <w:vAlign w:val="center"/>
          </w:tcPr>
          <w:p w:rsidR="00BC195B" w:rsidRPr="00E566B0" w:rsidRDefault="00BC195B" w:rsidP="00D046ED">
            <w:pPr>
              <w:rPr>
                <w:rFonts w:ascii="Trebuchet MS" w:hAnsi="Trebuchet MS"/>
                <w:b/>
              </w:rPr>
            </w:pPr>
            <w:r w:rsidRPr="00E566B0">
              <w:rPr>
                <w:rFonts w:ascii="Trebuchet MS" w:hAnsi="Trebuchet MS"/>
                <w:color w:val="FF0000"/>
              </w:rPr>
              <w:t xml:space="preserve"> </w:t>
            </w:r>
            <w:r w:rsidRPr="00E566B0">
              <w:rPr>
                <w:rFonts w:ascii="Trebuchet MS" w:hAnsi="Trebuchet MS"/>
                <w:b/>
              </w:rPr>
              <w:t>Location of B</w:t>
            </w:r>
            <w:r>
              <w:rPr>
                <w:rFonts w:ascii="Trebuchet MS" w:hAnsi="Trebuchet MS"/>
                <w:b/>
              </w:rPr>
              <w:t>ranch</w:t>
            </w:r>
          </w:p>
        </w:tc>
        <w:tc>
          <w:tcPr>
            <w:tcW w:w="3969" w:type="dxa"/>
            <w:gridSpan w:val="2"/>
            <w:shd w:val="clear" w:color="auto" w:fill="auto"/>
            <w:vAlign w:val="center"/>
          </w:tcPr>
          <w:p w:rsidR="00BC195B" w:rsidRPr="00E566B0" w:rsidRDefault="00BC195B" w:rsidP="00D046ED">
            <w:pPr>
              <w:rPr>
                <w:rFonts w:ascii="Trebuchet MS" w:hAnsi="Trebuchet MS"/>
                <w:b/>
              </w:rPr>
            </w:pPr>
            <w:r w:rsidRPr="00E566B0">
              <w:rPr>
                <w:rFonts w:ascii="Trebuchet MS" w:hAnsi="Trebuchet MS"/>
                <w:b/>
              </w:rPr>
              <w:t>Chartered /Cost Accountant</w:t>
            </w:r>
          </w:p>
        </w:tc>
        <w:tc>
          <w:tcPr>
            <w:tcW w:w="1134" w:type="dxa"/>
            <w:vMerge w:val="restart"/>
            <w:shd w:val="clear" w:color="auto" w:fill="auto"/>
            <w:vAlign w:val="center"/>
          </w:tcPr>
          <w:p w:rsidR="00BC195B" w:rsidRPr="00E566B0" w:rsidRDefault="00BC195B" w:rsidP="00D046ED">
            <w:pPr>
              <w:rPr>
                <w:rFonts w:ascii="Trebuchet MS" w:hAnsi="Trebuchet MS"/>
                <w:b/>
              </w:rPr>
            </w:pPr>
            <w:r w:rsidRPr="00E566B0">
              <w:rPr>
                <w:rFonts w:ascii="Trebuchet MS" w:hAnsi="Trebuchet MS"/>
                <w:b/>
              </w:rPr>
              <w:t>Retired Bank Official</w:t>
            </w:r>
          </w:p>
        </w:tc>
        <w:tc>
          <w:tcPr>
            <w:tcW w:w="2693" w:type="dxa"/>
            <w:vMerge w:val="restart"/>
            <w:shd w:val="clear" w:color="auto" w:fill="auto"/>
            <w:vAlign w:val="center"/>
          </w:tcPr>
          <w:p w:rsidR="00BC195B" w:rsidRPr="00E566B0" w:rsidRDefault="00BC195B" w:rsidP="00D046ED">
            <w:pPr>
              <w:rPr>
                <w:rFonts w:ascii="Trebuchet MS" w:hAnsi="Trebuchet MS"/>
                <w:b/>
              </w:rPr>
            </w:pPr>
            <w:r w:rsidRPr="00E566B0">
              <w:rPr>
                <w:rFonts w:ascii="Trebuchet MS" w:hAnsi="Trebuchet MS"/>
                <w:b/>
              </w:rPr>
              <w:t>In-house Bank Staff</w:t>
            </w:r>
          </w:p>
        </w:tc>
      </w:tr>
      <w:tr w:rsidR="00BC195B" w:rsidRPr="00E566B0" w:rsidTr="00BC195B">
        <w:trPr>
          <w:trHeight w:val="135"/>
        </w:trPr>
        <w:tc>
          <w:tcPr>
            <w:tcW w:w="1701" w:type="dxa"/>
            <w:vMerge/>
            <w:shd w:val="clear" w:color="auto" w:fill="auto"/>
            <w:vAlign w:val="center"/>
          </w:tcPr>
          <w:p w:rsidR="00BC195B" w:rsidRPr="00E566B0" w:rsidRDefault="00BC195B" w:rsidP="00D046ED">
            <w:pPr>
              <w:rPr>
                <w:rFonts w:ascii="Trebuchet MS" w:hAnsi="Trebuchet MS"/>
              </w:rPr>
            </w:pPr>
          </w:p>
        </w:tc>
        <w:tc>
          <w:tcPr>
            <w:tcW w:w="1985" w:type="dxa"/>
            <w:shd w:val="clear" w:color="auto" w:fill="auto"/>
            <w:vAlign w:val="center"/>
          </w:tcPr>
          <w:p w:rsidR="00BC195B" w:rsidRPr="00E566B0" w:rsidRDefault="00BC195B" w:rsidP="00D046ED">
            <w:pPr>
              <w:spacing w:after="0" w:line="240" w:lineRule="auto"/>
              <w:jc w:val="center"/>
              <w:rPr>
                <w:rFonts w:ascii="Trebuchet MS" w:hAnsi="Trebuchet MS"/>
                <w:b/>
              </w:rPr>
            </w:pPr>
            <w:r w:rsidRPr="00E566B0">
              <w:rPr>
                <w:rFonts w:ascii="Trebuchet MS" w:hAnsi="Trebuchet MS"/>
                <w:b/>
              </w:rPr>
              <w:t>Partnership</w:t>
            </w:r>
          </w:p>
        </w:tc>
        <w:tc>
          <w:tcPr>
            <w:tcW w:w="1984" w:type="dxa"/>
            <w:shd w:val="clear" w:color="auto" w:fill="auto"/>
            <w:vAlign w:val="center"/>
          </w:tcPr>
          <w:p w:rsidR="00BC195B" w:rsidRPr="00E566B0" w:rsidRDefault="00BC195B" w:rsidP="00D046ED">
            <w:pPr>
              <w:jc w:val="center"/>
              <w:rPr>
                <w:rFonts w:ascii="Trebuchet MS" w:hAnsi="Trebuchet MS"/>
                <w:b/>
              </w:rPr>
            </w:pPr>
            <w:r w:rsidRPr="00E566B0">
              <w:rPr>
                <w:rFonts w:ascii="Trebuchet MS" w:hAnsi="Trebuchet MS"/>
                <w:b/>
              </w:rPr>
              <w:t>Sole Proprietorship</w:t>
            </w:r>
          </w:p>
        </w:tc>
        <w:tc>
          <w:tcPr>
            <w:tcW w:w="1134" w:type="dxa"/>
            <w:vMerge/>
            <w:shd w:val="clear" w:color="auto" w:fill="auto"/>
            <w:vAlign w:val="center"/>
          </w:tcPr>
          <w:p w:rsidR="00BC195B" w:rsidRPr="00E566B0" w:rsidRDefault="00BC195B" w:rsidP="00D046ED">
            <w:pPr>
              <w:rPr>
                <w:rFonts w:ascii="Trebuchet MS" w:hAnsi="Trebuchet MS"/>
              </w:rPr>
            </w:pPr>
          </w:p>
        </w:tc>
        <w:tc>
          <w:tcPr>
            <w:tcW w:w="2693" w:type="dxa"/>
            <w:vMerge/>
            <w:shd w:val="clear" w:color="auto" w:fill="auto"/>
            <w:vAlign w:val="center"/>
          </w:tcPr>
          <w:p w:rsidR="00BC195B" w:rsidRPr="00E566B0" w:rsidRDefault="00BC195B" w:rsidP="00D046ED">
            <w:pPr>
              <w:rPr>
                <w:rFonts w:ascii="Trebuchet MS" w:hAnsi="Trebuchet MS"/>
              </w:rPr>
            </w:pPr>
          </w:p>
        </w:tc>
      </w:tr>
      <w:tr w:rsidR="00BC195B" w:rsidRPr="00E566B0" w:rsidTr="00BC195B">
        <w:trPr>
          <w:trHeight w:val="682"/>
        </w:trPr>
        <w:tc>
          <w:tcPr>
            <w:tcW w:w="1701" w:type="dxa"/>
            <w:shd w:val="clear" w:color="auto" w:fill="auto"/>
            <w:vAlign w:val="center"/>
          </w:tcPr>
          <w:p w:rsidR="00BC195B" w:rsidRPr="00E566B0" w:rsidRDefault="00BC195B" w:rsidP="00D046ED">
            <w:pPr>
              <w:rPr>
                <w:rFonts w:ascii="Interstate-Regular" w:hAnsi="Interstate-Regular"/>
              </w:rPr>
            </w:pPr>
            <w:r w:rsidRPr="00E566B0">
              <w:rPr>
                <w:rFonts w:ascii="Interstate-Regular" w:hAnsi="Interstate-Regular"/>
              </w:rPr>
              <w:t xml:space="preserve">UTs of J&amp;K &amp; </w:t>
            </w:r>
            <w:proofErr w:type="spellStart"/>
            <w:r w:rsidRPr="00E566B0">
              <w:rPr>
                <w:rFonts w:ascii="Interstate-Regular" w:hAnsi="Interstate-Regular"/>
              </w:rPr>
              <w:t>Ladakh</w:t>
            </w:r>
            <w:proofErr w:type="spellEnd"/>
            <w:r w:rsidRPr="00E566B0">
              <w:rPr>
                <w:rFonts w:ascii="Interstate-Regular" w:hAnsi="Interstate-Regular"/>
              </w:rPr>
              <w:t xml:space="preserve">* </w:t>
            </w:r>
          </w:p>
        </w:tc>
        <w:tc>
          <w:tcPr>
            <w:tcW w:w="1985" w:type="dxa"/>
            <w:shd w:val="clear" w:color="auto" w:fill="auto"/>
            <w:vAlign w:val="center"/>
          </w:tcPr>
          <w:p w:rsidR="00BC195B" w:rsidRPr="00E566B0" w:rsidRDefault="00BC195B" w:rsidP="00D046ED">
            <w:pPr>
              <w:jc w:val="center"/>
              <w:rPr>
                <w:rFonts w:ascii="Interstate-Regular" w:hAnsi="Interstate-Regular"/>
              </w:rPr>
            </w:pPr>
            <w:proofErr w:type="spellStart"/>
            <w:r w:rsidRPr="00E566B0">
              <w:rPr>
                <w:rFonts w:ascii="Interstate-Regular" w:hAnsi="Interstate-Regular"/>
              </w:rPr>
              <w:t>Upto</w:t>
            </w:r>
            <w:proofErr w:type="spellEnd"/>
            <w:r w:rsidRPr="00E566B0">
              <w:rPr>
                <w:rFonts w:ascii="Interstate-Regular" w:hAnsi="Interstate-Regular"/>
              </w:rPr>
              <w:t xml:space="preserve"> 5 B</w:t>
            </w:r>
            <w:r>
              <w:rPr>
                <w:rFonts w:ascii="Interstate-Regular" w:hAnsi="Interstate-Regular"/>
              </w:rPr>
              <w:t>ranches</w:t>
            </w:r>
          </w:p>
        </w:tc>
        <w:tc>
          <w:tcPr>
            <w:tcW w:w="1984" w:type="dxa"/>
            <w:shd w:val="clear" w:color="auto" w:fill="auto"/>
            <w:vAlign w:val="center"/>
          </w:tcPr>
          <w:p w:rsidR="00BC195B" w:rsidRPr="00E566B0" w:rsidRDefault="00BC195B" w:rsidP="00D046ED">
            <w:pPr>
              <w:jc w:val="center"/>
              <w:rPr>
                <w:rFonts w:ascii="Interstate-Regular" w:hAnsi="Interstate-Regular"/>
              </w:rPr>
            </w:pPr>
            <w:proofErr w:type="spellStart"/>
            <w:r w:rsidRPr="00E566B0">
              <w:rPr>
                <w:rFonts w:ascii="Interstate-Regular" w:hAnsi="Interstate-Regular"/>
              </w:rPr>
              <w:t>Upto</w:t>
            </w:r>
            <w:proofErr w:type="spellEnd"/>
            <w:r w:rsidRPr="00E566B0">
              <w:rPr>
                <w:rFonts w:ascii="Interstate-Regular" w:hAnsi="Interstate-Regular"/>
              </w:rPr>
              <w:t xml:space="preserve"> 2 B</w:t>
            </w:r>
            <w:r>
              <w:rPr>
                <w:rFonts w:ascii="Interstate-Regular" w:hAnsi="Interstate-Regular"/>
              </w:rPr>
              <w:t>ranches</w:t>
            </w:r>
          </w:p>
        </w:tc>
        <w:tc>
          <w:tcPr>
            <w:tcW w:w="1134" w:type="dxa"/>
            <w:shd w:val="clear" w:color="auto" w:fill="auto"/>
            <w:vAlign w:val="center"/>
          </w:tcPr>
          <w:p w:rsidR="00BC195B" w:rsidRPr="00E566B0" w:rsidRDefault="00BC195B" w:rsidP="00D046ED">
            <w:pPr>
              <w:rPr>
                <w:rFonts w:ascii="Interstate-Regular" w:hAnsi="Interstate-Regular"/>
              </w:rPr>
            </w:pPr>
            <w:r w:rsidRPr="00E566B0">
              <w:rPr>
                <w:rFonts w:ascii="Interstate-Regular" w:hAnsi="Interstate-Regular"/>
              </w:rPr>
              <w:t>1 B</w:t>
            </w:r>
            <w:r>
              <w:rPr>
                <w:rFonts w:ascii="Interstate-Regular" w:hAnsi="Interstate-Regular"/>
              </w:rPr>
              <w:t>ranch</w:t>
            </w:r>
          </w:p>
        </w:tc>
        <w:tc>
          <w:tcPr>
            <w:tcW w:w="2693" w:type="dxa"/>
            <w:shd w:val="clear" w:color="auto" w:fill="auto"/>
            <w:vAlign w:val="center"/>
          </w:tcPr>
          <w:p w:rsidR="00BC195B" w:rsidRPr="00E566B0" w:rsidRDefault="00BC195B" w:rsidP="00D046ED">
            <w:pPr>
              <w:rPr>
                <w:rFonts w:ascii="Interstate-Regular" w:hAnsi="Interstate-Regular"/>
              </w:rPr>
            </w:pPr>
            <w:proofErr w:type="spellStart"/>
            <w:r w:rsidRPr="00E566B0">
              <w:rPr>
                <w:rFonts w:ascii="Interstate-Regular" w:hAnsi="Interstate-Regular"/>
              </w:rPr>
              <w:t>Upto</w:t>
            </w:r>
            <w:proofErr w:type="spellEnd"/>
            <w:r w:rsidRPr="00E566B0">
              <w:rPr>
                <w:rFonts w:ascii="Interstate-Regular" w:hAnsi="Interstate-Regular"/>
              </w:rPr>
              <w:t xml:space="preserve"> 2 B</w:t>
            </w:r>
            <w:r>
              <w:rPr>
                <w:rFonts w:ascii="Interstate-Regular" w:hAnsi="Interstate-Regular"/>
              </w:rPr>
              <w:t>ranche</w:t>
            </w:r>
            <w:r w:rsidRPr="00E566B0">
              <w:rPr>
                <w:rFonts w:ascii="Interstate-Regular" w:hAnsi="Interstate-Regular"/>
              </w:rPr>
              <w:t>s/ Offices</w:t>
            </w:r>
          </w:p>
        </w:tc>
      </w:tr>
      <w:tr w:rsidR="00BC195B" w:rsidRPr="00E566B0" w:rsidTr="00BC195B">
        <w:trPr>
          <w:trHeight w:val="453"/>
        </w:trPr>
        <w:tc>
          <w:tcPr>
            <w:tcW w:w="1701" w:type="dxa"/>
            <w:shd w:val="clear" w:color="auto" w:fill="auto"/>
            <w:vAlign w:val="center"/>
          </w:tcPr>
          <w:p w:rsidR="00BC195B" w:rsidRPr="00E566B0" w:rsidRDefault="00BC195B" w:rsidP="00BC195B">
            <w:pPr>
              <w:spacing w:before="240"/>
              <w:rPr>
                <w:rFonts w:ascii="Interstate-Regular" w:hAnsi="Interstate-Regular"/>
              </w:rPr>
            </w:pPr>
            <w:r w:rsidRPr="00E566B0">
              <w:rPr>
                <w:rFonts w:ascii="Interstate-Regular" w:hAnsi="Interstate-Regular"/>
              </w:rPr>
              <w:t>Rest of India</w:t>
            </w:r>
          </w:p>
        </w:tc>
        <w:tc>
          <w:tcPr>
            <w:tcW w:w="1985" w:type="dxa"/>
            <w:shd w:val="clear" w:color="auto" w:fill="auto"/>
            <w:vAlign w:val="center"/>
          </w:tcPr>
          <w:p w:rsidR="00BC195B" w:rsidRPr="00E566B0" w:rsidRDefault="00BC195B" w:rsidP="00D046ED">
            <w:pPr>
              <w:spacing w:after="0" w:line="240" w:lineRule="auto"/>
              <w:jc w:val="center"/>
              <w:rPr>
                <w:rFonts w:ascii="Interstate-Regular" w:hAnsi="Interstate-Regular"/>
              </w:rPr>
            </w:pPr>
            <w:r w:rsidRPr="00E566B0">
              <w:rPr>
                <w:rFonts w:ascii="Interstate-Regular" w:hAnsi="Interstate-Regular"/>
              </w:rPr>
              <w:t>1 B</w:t>
            </w:r>
            <w:r>
              <w:rPr>
                <w:rFonts w:ascii="Interstate-Regular" w:hAnsi="Interstate-Regular"/>
              </w:rPr>
              <w:t>ranch</w:t>
            </w:r>
          </w:p>
        </w:tc>
        <w:tc>
          <w:tcPr>
            <w:tcW w:w="1984" w:type="dxa"/>
            <w:shd w:val="clear" w:color="auto" w:fill="auto"/>
            <w:vAlign w:val="center"/>
          </w:tcPr>
          <w:p w:rsidR="00BC195B" w:rsidRPr="00E566B0" w:rsidRDefault="00BC195B" w:rsidP="00BC195B">
            <w:pPr>
              <w:spacing w:before="240"/>
              <w:jc w:val="center"/>
              <w:rPr>
                <w:rFonts w:ascii="Interstate-Regular" w:hAnsi="Interstate-Regular"/>
              </w:rPr>
            </w:pPr>
            <w:r w:rsidRPr="00E566B0">
              <w:rPr>
                <w:rFonts w:ascii="Interstate-Regular" w:hAnsi="Interstate-Regular"/>
              </w:rPr>
              <w:t>1 B</w:t>
            </w:r>
            <w:r>
              <w:rPr>
                <w:rFonts w:ascii="Interstate-Regular" w:hAnsi="Interstate-Regular"/>
              </w:rPr>
              <w:t>ranch</w:t>
            </w:r>
          </w:p>
        </w:tc>
        <w:tc>
          <w:tcPr>
            <w:tcW w:w="1134" w:type="dxa"/>
            <w:shd w:val="clear" w:color="auto" w:fill="auto"/>
            <w:vAlign w:val="center"/>
          </w:tcPr>
          <w:p w:rsidR="00BC195B" w:rsidRPr="00E566B0" w:rsidRDefault="00BC195B" w:rsidP="00BC195B">
            <w:pPr>
              <w:spacing w:before="240"/>
              <w:rPr>
                <w:rFonts w:ascii="Interstate-Regular" w:hAnsi="Interstate-Regular"/>
              </w:rPr>
            </w:pPr>
            <w:r w:rsidRPr="00E566B0">
              <w:rPr>
                <w:rFonts w:ascii="Interstate-Regular" w:hAnsi="Interstate-Regular"/>
              </w:rPr>
              <w:t>1 B</w:t>
            </w:r>
            <w:r>
              <w:rPr>
                <w:rFonts w:ascii="Interstate-Regular" w:hAnsi="Interstate-Regular"/>
              </w:rPr>
              <w:t>ranch</w:t>
            </w:r>
          </w:p>
        </w:tc>
        <w:tc>
          <w:tcPr>
            <w:tcW w:w="2693" w:type="dxa"/>
            <w:shd w:val="clear" w:color="auto" w:fill="auto"/>
            <w:vAlign w:val="center"/>
          </w:tcPr>
          <w:p w:rsidR="00BC195B" w:rsidRPr="00E566B0" w:rsidRDefault="00BC195B" w:rsidP="00BC195B">
            <w:pPr>
              <w:spacing w:after="0"/>
              <w:rPr>
                <w:rFonts w:ascii="Interstate-Regular" w:hAnsi="Interstate-Regular"/>
              </w:rPr>
            </w:pPr>
            <w:proofErr w:type="spellStart"/>
            <w:r>
              <w:rPr>
                <w:rFonts w:ascii="Interstate-Regular" w:hAnsi="Interstate-Regular"/>
              </w:rPr>
              <w:t>Upto</w:t>
            </w:r>
            <w:proofErr w:type="spellEnd"/>
            <w:r>
              <w:rPr>
                <w:rFonts w:ascii="Interstate-Regular" w:hAnsi="Interstate-Regular"/>
              </w:rPr>
              <w:t xml:space="preserve"> 2 </w:t>
            </w:r>
            <w:r w:rsidRPr="00E566B0">
              <w:rPr>
                <w:rFonts w:ascii="Interstate-Regular" w:hAnsi="Interstate-Regular"/>
              </w:rPr>
              <w:t>B</w:t>
            </w:r>
            <w:r>
              <w:rPr>
                <w:rFonts w:ascii="Interstate-Regular" w:hAnsi="Interstate-Regular"/>
              </w:rPr>
              <w:t>ranches</w:t>
            </w:r>
            <w:r w:rsidRPr="00E566B0">
              <w:rPr>
                <w:rFonts w:ascii="Interstate-Regular" w:hAnsi="Interstate-Regular"/>
              </w:rPr>
              <w:t>/ Offices</w:t>
            </w:r>
          </w:p>
        </w:tc>
      </w:tr>
    </w:tbl>
    <w:p w:rsidR="00BC195B" w:rsidRPr="00BC195B" w:rsidRDefault="00BC195B" w:rsidP="00BC195B">
      <w:pPr>
        <w:ind w:left="142" w:hanging="142"/>
        <w:jc w:val="both"/>
        <w:rPr>
          <w:rFonts w:ascii="Interstate-Bold" w:hAnsi="Interstate-Bold"/>
          <w:color w:val="FF0000"/>
          <w:sz w:val="24"/>
          <w:szCs w:val="24"/>
        </w:rPr>
      </w:pPr>
      <w:r w:rsidRPr="00BC195B">
        <w:rPr>
          <w:rFonts w:ascii="Trebuchet MS" w:hAnsi="Trebuchet MS"/>
          <w:b/>
          <w:i/>
        </w:rPr>
        <w:t xml:space="preserve"> </w:t>
      </w:r>
      <w:r w:rsidRPr="00BC195B">
        <w:rPr>
          <w:rFonts w:ascii="Interstate-Bold" w:hAnsi="Interstate-Bold"/>
          <w:b/>
          <w:i/>
          <w:sz w:val="24"/>
          <w:szCs w:val="24"/>
        </w:rPr>
        <w:t xml:space="preserve">* More than 1 Branch may be allotted due to scant presence of CA firms in the </w:t>
      </w:r>
      <w:r>
        <w:rPr>
          <w:rFonts w:ascii="Interstate-Bold" w:hAnsi="Interstate-Bold"/>
          <w:b/>
          <w:i/>
          <w:sz w:val="24"/>
          <w:szCs w:val="24"/>
        </w:rPr>
        <w:t xml:space="preserve">  </w:t>
      </w:r>
      <w:r w:rsidRPr="00BC195B">
        <w:rPr>
          <w:rFonts w:ascii="Interstate-Bold" w:hAnsi="Interstate-Bold"/>
          <w:b/>
          <w:i/>
          <w:sz w:val="24"/>
          <w:szCs w:val="24"/>
        </w:rPr>
        <w:t>region</w:t>
      </w:r>
      <w:r w:rsidRPr="00BC195B">
        <w:rPr>
          <w:rFonts w:ascii="Interstate-Bold" w:hAnsi="Interstate-Bold"/>
          <w:color w:val="FF0000"/>
          <w:sz w:val="24"/>
          <w:szCs w:val="24"/>
        </w:rPr>
        <w:t xml:space="preserve">. </w:t>
      </w:r>
    </w:p>
    <w:p w:rsidR="00BC195B" w:rsidRDefault="00BC195B" w:rsidP="00BC195B">
      <w:pPr>
        <w:tabs>
          <w:tab w:val="left" w:pos="900"/>
        </w:tabs>
        <w:autoSpaceDE w:val="0"/>
        <w:autoSpaceDN w:val="0"/>
        <w:adjustRightInd w:val="0"/>
        <w:spacing w:after="0" w:line="240" w:lineRule="auto"/>
        <w:jc w:val="both"/>
        <w:rPr>
          <w:rFonts w:ascii="Interstate-Bold" w:hAnsi="Interstate-Bold"/>
          <w:color w:val="FF0000"/>
          <w:sz w:val="24"/>
          <w:szCs w:val="24"/>
        </w:rPr>
      </w:pPr>
    </w:p>
    <w:p w:rsidR="00283CAE" w:rsidRPr="00283CAE" w:rsidRDefault="00283CAE" w:rsidP="00283CAE">
      <w:pPr>
        <w:tabs>
          <w:tab w:val="left" w:pos="900"/>
        </w:tabs>
        <w:autoSpaceDE w:val="0"/>
        <w:autoSpaceDN w:val="0"/>
        <w:adjustRightInd w:val="0"/>
        <w:spacing w:after="0"/>
        <w:jc w:val="both"/>
        <w:rPr>
          <w:rFonts w:ascii="Interstate-Bold" w:hAnsi="Interstate-Bold"/>
          <w:b/>
          <w:sz w:val="24"/>
          <w:szCs w:val="24"/>
        </w:rPr>
      </w:pPr>
      <w:r w:rsidRPr="00283CAE">
        <w:rPr>
          <w:rFonts w:ascii="Interstate-Bold" w:hAnsi="Interstate-Bold"/>
          <w:b/>
          <w:sz w:val="24"/>
          <w:szCs w:val="24"/>
        </w:rPr>
        <w:t>3). Accountability/Removal/De-empanelment of Concurrent Auditors:-</w:t>
      </w:r>
    </w:p>
    <w:p w:rsidR="00283CAE" w:rsidRPr="00E566B0" w:rsidRDefault="00283CAE" w:rsidP="00283CAE">
      <w:pPr>
        <w:autoSpaceDE w:val="0"/>
        <w:autoSpaceDN w:val="0"/>
        <w:adjustRightInd w:val="0"/>
        <w:spacing w:after="0" w:line="240" w:lineRule="auto"/>
        <w:ind w:left="810" w:hanging="758"/>
        <w:jc w:val="both"/>
        <w:rPr>
          <w:rFonts w:ascii="Trebuchet MS" w:hAnsi="Trebuchet MS"/>
        </w:rPr>
      </w:pPr>
      <w:r w:rsidRPr="00E566B0">
        <w:rPr>
          <w:rFonts w:ascii="Trebuchet MS" w:hAnsi="Trebuchet MS"/>
        </w:rPr>
        <w:t xml:space="preserve">          </w:t>
      </w:r>
    </w:p>
    <w:p w:rsidR="00BC195B" w:rsidRPr="00E566B0" w:rsidRDefault="00BC195B" w:rsidP="00BC195B">
      <w:pPr>
        <w:autoSpaceDE w:val="0"/>
        <w:autoSpaceDN w:val="0"/>
        <w:adjustRightInd w:val="0"/>
        <w:spacing w:after="0" w:line="240" w:lineRule="auto"/>
        <w:ind w:left="284"/>
        <w:jc w:val="both"/>
        <w:rPr>
          <w:rFonts w:ascii="Interstate-Regular" w:hAnsi="Interstate-Regular"/>
        </w:rPr>
      </w:pPr>
      <w:r w:rsidRPr="00E566B0">
        <w:rPr>
          <w:rFonts w:ascii="Interstate-Regular" w:hAnsi="Interstate-Regular"/>
        </w:rPr>
        <w:t xml:space="preserve">Concurrent Auditors, will be subject to removal/de-listing/de- empanelment in following </w:t>
      </w:r>
      <w:r>
        <w:rPr>
          <w:rFonts w:ascii="Interstate-Regular" w:hAnsi="Interstate-Regular"/>
        </w:rPr>
        <w:t xml:space="preserve">   </w:t>
      </w:r>
      <w:r w:rsidRPr="00E566B0">
        <w:rPr>
          <w:rFonts w:ascii="Interstate-Regular" w:hAnsi="Interstate-Regular"/>
        </w:rPr>
        <w:t>cases:</w:t>
      </w:r>
    </w:p>
    <w:p w:rsidR="00BC195B" w:rsidRPr="00E566B0" w:rsidRDefault="00BC195B" w:rsidP="00BC195B">
      <w:pPr>
        <w:autoSpaceDE w:val="0"/>
        <w:autoSpaceDN w:val="0"/>
        <w:adjustRightInd w:val="0"/>
        <w:spacing w:after="0" w:line="240" w:lineRule="auto"/>
        <w:ind w:left="630" w:hanging="578"/>
        <w:jc w:val="both"/>
        <w:rPr>
          <w:rFonts w:ascii="Interstate-Regular" w:hAnsi="Interstate-Regular"/>
        </w:rPr>
      </w:pP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 xml:space="preserve">When the Concurrent Auditors have </w:t>
      </w:r>
      <w:r w:rsidRPr="00E4474C">
        <w:rPr>
          <w:rFonts w:ascii="Interstate-Regular" w:hAnsi="Interstate-Regular"/>
        </w:rPr>
        <w:t xml:space="preserve">colluded with borrowers or </w:t>
      </w:r>
      <w:r>
        <w:rPr>
          <w:rFonts w:ascii="Interstate-Regular" w:hAnsi="Interstate-Regular" w:cs="Calibri"/>
        </w:rPr>
        <w:t>B</w:t>
      </w:r>
      <w:r w:rsidRPr="003048EB">
        <w:rPr>
          <w:rFonts w:ascii="Interstate-Regular" w:hAnsi="Interstate-Regular" w:cs="Calibri"/>
        </w:rPr>
        <w:t>ranch</w:t>
      </w:r>
      <w:r w:rsidRPr="00E566B0">
        <w:rPr>
          <w:rFonts w:ascii="Interstate-Regular" w:hAnsi="Interstate-Regular"/>
        </w:rPr>
        <w:t xml:space="preserve"> </w:t>
      </w:r>
      <w:r>
        <w:rPr>
          <w:rFonts w:ascii="Interstate-Bold" w:hAnsi="Interstate-Bold"/>
        </w:rPr>
        <w:t>Manager</w:t>
      </w:r>
      <w:r w:rsidRPr="00E4474C">
        <w:rPr>
          <w:rFonts w:ascii="Interstate-Regular" w:hAnsi="Interstate-Regular"/>
        </w:rPr>
        <w:t xml:space="preserve"> or officials,</w:t>
      </w:r>
      <w:r w:rsidRPr="00E566B0">
        <w:rPr>
          <w:rFonts w:ascii="Interstate-Regular" w:hAnsi="Interstate-Regular"/>
        </w:rPr>
        <w:t xml:space="preserve"> for pecuniary benefit and failed to report major irregularities and frauds, the names of such auditors / firms will be referred to IBA’s for inclusion in Caution List (under Third Party Entity (TPE).</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When the auditors name is included in the IBA Caution List from time to time, the name of such auditors will also be removed from the panel of Concurrent Auditors as per extant guidelines.</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8D040C">
        <w:rPr>
          <w:rFonts w:ascii="Interstate-Regular" w:hAnsi="Interstate-Regular"/>
        </w:rPr>
        <w:t>Failure in timely detection of fraud by the concerned concurrent auditor during his tenure as Concurrent Auditor at branch which surfaces later on.</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When they fail to retain/maintain desired performance in the half yearly review.</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When their performance is not found to be of desired level for two consecutive months by concerned Compliance Department or S, C &amp; Audit Divisional Office/Corporate Headquarters or any other Office.</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When they refuse to attend to any inspection/audit assignment or delay it, without proper justifications/reasons;</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 xml:space="preserve">When they fail to attend the </w:t>
      </w:r>
      <w:r w:rsidRPr="002D1BF4">
        <w:rPr>
          <w:rFonts w:ascii="Interstate-Regular" w:hAnsi="Interstate-Regular"/>
        </w:rPr>
        <w:t>branch</w:t>
      </w:r>
      <w:r w:rsidRPr="00E566B0">
        <w:rPr>
          <w:rFonts w:ascii="Interstate-Regular" w:hAnsi="Interstate-Regular"/>
        </w:rPr>
        <w:t xml:space="preserve"> on regular basis for Concurrent Audit.</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When a Concurrent Auditor resigns/revokes his job in middle of the assigned period.</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Frequent expiry of password on account of non-attendance.</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 xml:space="preserve">Asking undue favours from customers of the Bank.  </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Late submission of Concurrent Audit report by more than five days (</w:t>
      </w:r>
      <w:r w:rsidRPr="00086858">
        <w:rPr>
          <w:rFonts w:ascii="Interstate-Regular" w:hAnsi="Interstate-Regular"/>
        </w:rPr>
        <w:t>after</w:t>
      </w:r>
      <w:r w:rsidRPr="00E566B0">
        <w:rPr>
          <w:rFonts w:ascii="Interstate-Regular" w:hAnsi="Interstate-Regular"/>
        </w:rPr>
        <w:t xml:space="preserve"> 15th of the month following the month to which the report pertains.)</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Quality of Concurrent Audit report is very poor.</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 xml:space="preserve">The auditor fails to display a cooperative/constructive/collaborative approach towards the staff posted at the </w:t>
      </w:r>
      <w:r w:rsidRPr="002D1BF4">
        <w:rPr>
          <w:rFonts w:ascii="Interstate-Regular" w:hAnsi="Interstate-Regular"/>
        </w:rPr>
        <w:t>branch</w:t>
      </w:r>
      <w:r w:rsidRPr="00E566B0">
        <w:rPr>
          <w:rFonts w:ascii="Interstate-Regular" w:hAnsi="Interstate-Regular"/>
        </w:rPr>
        <w:t xml:space="preserve"> and does not discuss the vital aspects of his findings with the </w:t>
      </w:r>
      <w:r>
        <w:rPr>
          <w:rFonts w:ascii="Interstate-Regular" w:hAnsi="Interstate-Regular" w:cs="Calibri"/>
        </w:rPr>
        <w:t>b</w:t>
      </w:r>
      <w:r w:rsidRPr="003048EB">
        <w:rPr>
          <w:rFonts w:ascii="Interstate-Regular" w:hAnsi="Interstate-Regular" w:cs="Calibri"/>
        </w:rPr>
        <w:t>ranch</w:t>
      </w:r>
      <w:r w:rsidRPr="00E566B0">
        <w:rPr>
          <w:rFonts w:ascii="Interstate-Regular" w:hAnsi="Interstate-Regular"/>
        </w:rPr>
        <w:t xml:space="preserve"> </w:t>
      </w:r>
      <w:r>
        <w:rPr>
          <w:rFonts w:ascii="Interstate-Regular" w:hAnsi="Interstate-Regular"/>
        </w:rPr>
        <w:t>m</w:t>
      </w:r>
      <w:r>
        <w:rPr>
          <w:rFonts w:ascii="Interstate-Bold" w:hAnsi="Interstate-Bold"/>
        </w:rPr>
        <w:t>anager</w:t>
      </w:r>
      <w:r w:rsidRPr="00E566B0">
        <w:rPr>
          <w:rFonts w:ascii="Interstate-Regular" w:hAnsi="Interstate-Regular"/>
        </w:rPr>
        <w:t>/other officials in-charge of various sections/departments;</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Fails to maintain the secrecy of the information of the borrowers/depositors or workings of the unit.</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 xml:space="preserve">Auditor is involved in some unlawful activities necessitating the bank to withdraw assignment/ allotment and other event likely to have material effect on the conduct of the Concurrent Audit in the </w:t>
      </w:r>
      <w:r w:rsidRPr="002D1BF4">
        <w:rPr>
          <w:rFonts w:ascii="Interstate-Regular" w:hAnsi="Interstate-Regular"/>
        </w:rPr>
        <w:t>branch</w:t>
      </w:r>
      <w:r w:rsidRPr="00E566B0">
        <w:rPr>
          <w:rFonts w:ascii="Interstate-Regular" w:hAnsi="Interstate-Regular"/>
        </w:rPr>
        <w:t>.</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lastRenderedPageBreak/>
        <w:t>Serious acts of omission or commission, if any, noticed in their working, their appointments may be cancelled after giving them reasonable opportunity to be heard and the fact shall be reported to ACB of the bank, RBI</w:t>
      </w:r>
      <w:r>
        <w:rPr>
          <w:rFonts w:ascii="Interstate-Regular" w:hAnsi="Interstate-Regular"/>
        </w:rPr>
        <w:t>, IBA, NFRA</w:t>
      </w:r>
      <w:r w:rsidRPr="00E566B0">
        <w:rPr>
          <w:rFonts w:ascii="Interstate-Regular" w:hAnsi="Interstate-Regular"/>
        </w:rPr>
        <w:t xml:space="preserve"> and ICAI.</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In cases of serious acts of omission or commission noticed in the working of bank’s own staff, working as concurrent auditors, shall be guided by the Officer’s Service Manual and other circulars issued from time to time defining the responsibilities/ acts of omission &amp; commission of the officers, and fixing of staff accountability.</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 xml:space="preserve">In case of Retired Staff, if serious acts of omission or commission are noticed in their working, their appointments may be </w:t>
      </w:r>
      <w:r w:rsidRPr="00E4474C">
        <w:rPr>
          <w:rFonts w:ascii="Interstate-Regular" w:hAnsi="Interstate-Regular"/>
        </w:rPr>
        <w:t>annulled and</w:t>
      </w:r>
      <w:r w:rsidRPr="00E566B0">
        <w:rPr>
          <w:rFonts w:ascii="Interstate-Regular" w:hAnsi="Interstate-Regular"/>
          <w:color w:val="FF0000"/>
        </w:rPr>
        <w:t xml:space="preserve"> </w:t>
      </w:r>
      <w:r w:rsidRPr="00E566B0">
        <w:rPr>
          <w:rFonts w:ascii="Interstate-Regular" w:hAnsi="Interstate-Regular"/>
        </w:rPr>
        <w:t xml:space="preserve">they may be </w:t>
      </w:r>
      <w:r w:rsidRPr="005A1251">
        <w:rPr>
          <w:rFonts w:ascii="Interstate-Regular" w:hAnsi="Interstate-Regular"/>
        </w:rPr>
        <w:t>blacklisted</w:t>
      </w:r>
      <w:r w:rsidRPr="00E566B0">
        <w:rPr>
          <w:rFonts w:ascii="Interstate-Regular" w:hAnsi="Interstate-Regular"/>
        </w:rPr>
        <w:t xml:space="preserve"> not only for concurrent audit but also for all other types of audit assignment/s of the bank, after giving them reasonable opportunity to be heard and the fact shall be reported to ACB of the bank.</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Refusal to take up the allotted assignment &amp; non commencement/ completion/non-submission of audit report within prescribed time.</w:t>
      </w:r>
    </w:p>
    <w:p w:rsidR="00BC195B" w:rsidRPr="00E566B0" w:rsidRDefault="00BC195B" w:rsidP="00BC195B">
      <w:pPr>
        <w:pStyle w:val="ListParagraph"/>
        <w:numPr>
          <w:ilvl w:val="0"/>
          <w:numId w:val="2"/>
        </w:numPr>
        <w:autoSpaceDE w:val="0"/>
        <w:autoSpaceDN w:val="0"/>
        <w:adjustRightInd w:val="0"/>
        <w:spacing w:after="0" w:line="240" w:lineRule="auto"/>
        <w:ind w:left="567" w:hanging="283"/>
        <w:jc w:val="both"/>
        <w:rPr>
          <w:rFonts w:ascii="Interstate-Regular" w:hAnsi="Interstate-Regular"/>
        </w:rPr>
      </w:pPr>
      <w:r w:rsidRPr="00E566B0">
        <w:rPr>
          <w:rFonts w:ascii="Interstate-Regular" w:hAnsi="Interstate-Regular"/>
        </w:rPr>
        <w:t xml:space="preserve">Dissolution/Reconstitution of the firm under different name &amp; style. However, in case the firm informs the bank of its reconstitution/relocation/renaming with full documentary evidence, the bank may consider such requests subject to its satisfaction. The powers for continuance of such audit firm in the panel shall rest with </w:t>
      </w:r>
      <w:r w:rsidRPr="005A1251">
        <w:rPr>
          <w:rFonts w:ascii="Interstate-Regular" w:hAnsi="Interstate-Regular"/>
        </w:rPr>
        <w:t>Head of Internal Audit.</w:t>
      </w:r>
    </w:p>
    <w:p w:rsidR="00BC195B" w:rsidRPr="00BC195B" w:rsidRDefault="00BC195B" w:rsidP="00BC195B">
      <w:pPr>
        <w:pStyle w:val="ListParagraph"/>
        <w:numPr>
          <w:ilvl w:val="0"/>
          <w:numId w:val="2"/>
        </w:numPr>
        <w:autoSpaceDE w:val="0"/>
        <w:autoSpaceDN w:val="0"/>
        <w:adjustRightInd w:val="0"/>
        <w:spacing w:after="0" w:line="240" w:lineRule="auto"/>
        <w:ind w:left="567" w:hanging="283"/>
        <w:jc w:val="both"/>
        <w:rPr>
          <w:rFonts w:ascii="Trebuchet MS" w:hAnsi="Trebuchet MS"/>
        </w:rPr>
      </w:pPr>
      <w:r w:rsidRPr="00BC195B">
        <w:rPr>
          <w:rFonts w:ascii="Interstate-Regular" w:hAnsi="Interstate-Regular"/>
        </w:rPr>
        <w:t xml:space="preserve">In case unsatisfactory performance is observed on the part of concurrent auditor or deviation from the terms of engagement, his assignment will be cancelled even before completion of the allocated period of one year. In case of CA firms appointed, any serious acts of omission or commission if noticed in their working may be reported to RBI, ICAI, </w:t>
      </w:r>
      <w:proofErr w:type="gramStart"/>
      <w:r w:rsidRPr="00BC195B">
        <w:rPr>
          <w:rFonts w:ascii="Interstate-Regular" w:hAnsi="Interstate-Regular"/>
        </w:rPr>
        <w:t>NFRA</w:t>
      </w:r>
      <w:proofErr w:type="gramEnd"/>
      <w:r w:rsidRPr="00BC195B">
        <w:rPr>
          <w:rFonts w:ascii="Interstate-Regular" w:hAnsi="Interstate-Regular"/>
        </w:rPr>
        <w:t xml:space="preserve"> &amp; IBA besides cancelling their appointment. </w:t>
      </w:r>
    </w:p>
    <w:p w:rsidR="00283CAE" w:rsidRPr="00BC195B" w:rsidRDefault="00BC195B" w:rsidP="00BC195B">
      <w:pPr>
        <w:pStyle w:val="ListParagraph"/>
        <w:numPr>
          <w:ilvl w:val="0"/>
          <w:numId w:val="2"/>
        </w:numPr>
        <w:autoSpaceDE w:val="0"/>
        <w:autoSpaceDN w:val="0"/>
        <w:adjustRightInd w:val="0"/>
        <w:spacing w:after="0" w:line="240" w:lineRule="auto"/>
        <w:ind w:left="567" w:hanging="283"/>
        <w:jc w:val="both"/>
        <w:rPr>
          <w:rFonts w:ascii="Trebuchet MS" w:hAnsi="Trebuchet MS"/>
        </w:rPr>
      </w:pPr>
      <w:r w:rsidRPr="00BC195B">
        <w:rPr>
          <w:rFonts w:ascii="Interstate-Regular" w:hAnsi="Interstate-Regular"/>
        </w:rPr>
        <w:t xml:space="preserve">The de-empanelment of the CA firm will be done by </w:t>
      </w:r>
      <w:r w:rsidRPr="00BC195B">
        <w:rPr>
          <w:rFonts w:ascii="Interstate-Regular" w:hAnsi="Interstate-Regular"/>
          <w:color w:val="000000"/>
        </w:rPr>
        <w:t>Managing Director</w:t>
      </w:r>
      <w:r w:rsidRPr="00BC195B">
        <w:rPr>
          <w:rFonts w:ascii="Interstate-Regular" w:hAnsi="Interstate-Regular"/>
        </w:rPr>
        <w:t xml:space="preserve"> &amp; CEO on the recommendations of the Committee empowered for selection in case of unsatisfactory performance while making review. The selection committee for the purpose includes Deputy General Manager (S, C &amp; Audit), </w:t>
      </w:r>
      <w:proofErr w:type="spellStart"/>
      <w:r w:rsidRPr="00BC195B">
        <w:rPr>
          <w:rFonts w:ascii="Interstate-Regular" w:hAnsi="Interstate-Regular"/>
        </w:rPr>
        <w:t>Incharge</w:t>
      </w:r>
      <w:proofErr w:type="spellEnd"/>
      <w:r w:rsidRPr="00BC195B">
        <w:rPr>
          <w:rFonts w:ascii="Interstate-Regular" w:hAnsi="Interstate-Regular"/>
        </w:rPr>
        <w:t xml:space="preserve"> (S, C &amp; Audit) and concerned desk officer</w:t>
      </w:r>
      <w:r w:rsidRPr="00BC195B">
        <w:rPr>
          <w:rFonts w:ascii="Trebuchet MS" w:hAnsi="Trebuchet MS"/>
        </w:rPr>
        <w:t>.</w:t>
      </w:r>
    </w:p>
    <w:p w:rsidR="00C3589A" w:rsidRDefault="00C3589A" w:rsidP="00C3589A">
      <w:pPr>
        <w:pStyle w:val="ListParagraph"/>
        <w:autoSpaceDE w:val="0"/>
        <w:autoSpaceDN w:val="0"/>
        <w:adjustRightInd w:val="0"/>
        <w:spacing w:after="0" w:line="240" w:lineRule="auto"/>
        <w:ind w:left="567"/>
        <w:jc w:val="both"/>
        <w:rPr>
          <w:rFonts w:ascii="Trebuchet MS" w:hAnsi="Trebuchet MS"/>
        </w:rPr>
      </w:pPr>
    </w:p>
    <w:p w:rsidR="00C3589A" w:rsidRDefault="00C3589A" w:rsidP="00C3589A">
      <w:pPr>
        <w:pStyle w:val="ListParagraph"/>
        <w:numPr>
          <w:ilvl w:val="0"/>
          <w:numId w:val="2"/>
        </w:numPr>
        <w:autoSpaceDE w:val="0"/>
        <w:autoSpaceDN w:val="0"/>
        <w:adjustRightInd w:val="0"/>
        <w:spacing w:after="0" w:line="240" w:lineRule="auto"/>
        <w:ind w:left="567" w:hanging="425"/>
        <w:jc w:val="both"/>
        <w:rPr>
          <w:rFonts w:ascii="Interstate-Bold" w:hAnsi="Interstate-Bold"/>
          <w:b/>
          <w:sz w:val="24"/>
          <w:szCs w:val="24"/>
        </w:rPr>
      </w:pPr>
      <w:r w:rsidRPr="00E566B0">
        <w:rPr>
          <w:rFonts w:ascii="Interstate-Bold" w:hAnsi="Interstate-Bold"/>
          <w:b/>
          <w:sz w:val="24"/>
          <w:szCs w:val="24"/>
        </w:rPr>
        <w:t>Other Conditions of Engagement:</w:t>
      </w:r>
    </w:p>
    <w:p w:rsidR="003C1220" w:rsidRPr="003C1220" w:rsidRDefault="003C1220" w:rsidP="003C1220">
      <w:pPr>
        <w:pStyle w:val="ListParagraph"/>
        <w:rPr>
          <w:rFonts w:ascii="Interstate-Bold" w:hAnsi="Interstate-Bold"/>
          <w:b/>
          <w:sz w:val="24"/>
          <w:szCs w:val="24"/>
        </w:rPr>
      </w:pPr>
    </w:p>
    <w:p w:rsidR="003C1220" w:rsidRPr="00E566B0" w:rsidRDefault="003C1220" w:rsidP="003C1220">
      <w:pPr>
        <w:pStyle w:val="ListParagraph"/>
        <w:numPr>
          <w:ilvl w:val="0"/>
          <w:numId w:val="3"/>
        </w:numPr>
        <w:autoSpaceDE w:val="0"/>
        <w:autoSpaceDN w:val="0"/>
        <w:adjustRightInd w:val="0"/>
        <w:spacing w:after="0"/>
        <w:ind w:left="567" w:hanging="283"/>
        <w:jc w:val="both"/>
        <w:rPr>
          <w:rFonts w:ascii="Interstate-Regular" w:hAnsi="Interstate-Regular"/>
        </w:rPr>
      </w:pPr>
      <w:r w:rsidRPr="00E566B0">
        <w:rPr>
          <w:rFonts w:ascii="Interstate-Regular" w:hAnsi="Interstate-Regular"/>
        </w:rPr>
        <w:t>The auditors will not sub-let/sub-assign the audit assignment to any person/ firm. Selection of Concurrent Auditor/s will be the sole discretion of the bank.</w:t>
      </w:r>
    </w:p>
    <w:p w:rsidR="003C1220" w:rsidRPr="00E566B0" w:rsidRDefault="003C1220" w:rsidP="003C1220">
      <w:pPr>
        <w:pStyle w:val="ListParagraph"/>
        <w:numPr>
          <w:ilvl w:val="0"/>
          <w:numId w:val="3"/>
        </w:numPr>
        <w:autoSpaceDE w:val="0"/>
        <w:autoSpaceDN w:val="0"/>
        <w:adjustRightInd w:val="0"/>
        <w:spacing w:after="0"/>
        <w:ind w:left="567" w:hanging="283"/>
        <w:jc w:val="both"/>
        <w:rPr>
          <w:rFonts w:ascii="Interstate-Regular" w:hAnsi="Interstate-Regular"/>
        </w:rPr>
      </w:pPr>
      <w:r w:rsidRPr="00E566B0">
        <w:rPr>
          <w:rFonts w:ascii="Interstate-Regular" w:hAnsi="Interstate-Regular"/>
        </w:rPr>
        <w:t>The Concurrent Audit firm/individual will be liable to be removed at any time at the sole discretion of the bank without assigning any reason.</w:t>
      </w:r>
    </w:p>
    <w:p w:rsidR="003C1220" w:rsidRDefault="003C1220" w:rsidP="003C1220">
      <w:pPr>
        <w:pStyle w:val="ListParagraph"/>
        <w:numPr>
          <w:ilvl w:val="0"/>
          <w:numId w:val="3"/>
        </w:numPr>
        <w:autoSpaceDE w:val="0"/>
        <w:autoSpaceDN w:val="0"/>
        <w:adjustRightInd w:val="0"/>
        <w:spacing w:after="0"/>
        <w:ind w:left="567" w:hanging="283"/>
        <w:jc w:val="both"/>
        <w:rPr>
          <w:rFonts w:ascii="Interstate-Regular" w:hAnsi="Interstate-Regular"/>
        </w:rPr>
      </w:pPr>
      <w:r w:rsidRPr="00E566B0">
        <w:rPr>
          <w:rFonts w:ascii="Interstate-Regular" w:hAnsi="Interstate-Regular"/>
        </w:rPr>
        <w:t>The empanelled firms/retired official shall be accountable for the acts of omission and commission during the course of the Concurrent Audit.</w:t>
      </w:r>
    </w:p>
    <w:p w:rsidR="003C1220" w:rsidRPr="00E566B0" w:rsidRDefault="003C1220" w:rsidP="003C1220">
      <w:pPr>
        <w:pStyle w:val="ListParagraph"/>
        <w:numPr>
          <w:ilvl w:val="0"/>
          <w:numId w:val="3"/>
        </w:numPr>
        <w:autoSpaceDE w:val="0"/>
        <w:autoSpaceDN w:val="0"/>
        <w:adjustRightInd w:val="0"/>
        <w:spacing w:after="0"/>
        <w:ind w:left="567" w:hanging="283"/>
        <w:jc w:val="both"/>
        <w:rPr>
          <w:rFonts w:ascii="Interstate-Regular" w:hAnsi="Interstate-Regular"/>
        </w:rPr>
      </w:pPr>
      <w:r w:rsidRPr="00E566B0">
        <w:rPr>
          <w:rFonts w:ascii="Interstate-Regular" w:hAnsi="Interstate-Regular" w:cs="Calibri"/>
        </w:rPr>
        <w:t xml:space="preserve">The chartered accountant / his assistant are under the obligation to remain present in the </w:t>
      </w:r>
      <w:r>
        <w:rPr>
          <w:rFonts w:ascii="Interstate-Regular" w:hAnsi="Interstate-Regular" w:cs="Calibri"/>
        </w:rPr>
        <w:t>Branch as</w:t>
      </w:r>
      <w:r w:rsidRPr="00E566B0">
        <w:rPr>
          <w:rFonts w:ascii="Interstate-Regular" w:hAnsi="Interstate-Regular" w:cs="Calibri"/>
        </w:rPr>
        <w:t xml:space="preserve"> per directions during working hours regularly and his attendance shall be confirmed by the audit user login through system.</w:t>
      </w:r>
      <w:r w:rsidRPr="00E566B0">
        <w:rPr>
          <w:rFonts w:ascii="Interstate-Regular" w:hAnsi="Interstate-Regular"/>
          <w:b/>
          <w:bCs/>
        </w:rPr>
        <w:t xml:space="preserve"> </w:t>
      </w:r>
      <w:r>
        <w:rPr>
          <w:rFonts w:ascii="Interstate-Regular" w:hAnsi="Interstate-Regular"/>
          <w:b/>
          <w:bCs/>
        </w:rPr>
        <w:t>CA Firms assigned the concurrent audit of treasury/FOREX branches should mandatorily deputed an audit executive having specialized knowledge of Treasury and FOREX. T</w:t>
      </w:r>
      <w:r w:rsidRPr="00E566B0">
        <w:rPr>
          <w:rFonts w:ascii="Interstate-Regular" w:hAnsi="Interstate-Regular"/>
          <w:b/>
          <w:bCs/>
        </w:rPr>
        <w:t>he CA firm must depute a person on daily basis who must have ample experience &amp; exposure of such kind of audits, to the bank’s branch/ office</w:t>
      </w:r>
      <w:r w:rsidRPr="00E566B0">
        <w:rPr>
          <w:rFonts w:ascii="Interstate-Regular" w:hAnsi="Interstate-Regular"/>
          <w:b/>
        </w:rPr>
        <w:t xml:space="preserve"> and he /she must have minimum qualification of CA inter (IPCC).</w:t>
      </w:r>
      <w:r>
        <w:rPr>
          <w:rFonts w:ascii="Interstate-Regular" w:hAnsi="Interstate-Regular"/>
          <w:b/>
        </w:rPr>
        <w:t xml:space="preserve"> </w:t>
      </w:r>
      <w:r w:rsidRPr="00E566B0">
        <w:rPr>
          <w:rFonts w:ascii="Interstate-Regular" w:hAnsi="Interstate-Regular"/>
          <w:b/>
        </w:rPr>
        <w:t xml:space="preserve">It should be ensured that partners / proprietor of CA firm personally visits the allotted </w:t>
      </w:r>
      <w:r w:rsidRPr="002D1BF4">
        <w:rPr>
          <w:rFonts w:ascii="Interstate-Regular" w:hAnsi="Interstate-Regular"/>
          <w:b/>
        </w:rPr>
        <w:t>branch</w:t>
      </w:r>
      <w:r w:rsidRPr="00E566B0">
        <w:rPr>
          <w:rFonts w:ascii="Interstate-Regular" w:hAnsi="Interstate-Regular"/>
          <w:b/>
        </w:rPr>
        <w:t xml:space="preserve">/s at least twice a week. However, for the large and extra-large </w:t>
      </w:r>
      <w:r w:rsidRPr="002D1BF4">
        <w:rPr>
          <w:rFonts w:ascii="Interstate-Regular" w:hAnsi="Interstate-Regular"/>
          <w:b/>
        </w:rPr>
        <w:t>branch/</w:t>
      </w:r>
      <w:r w:rsidRPr="00E566B0">
        <w:rPr>
          <w:rFonts w:ascii="Interstate-Regular" w:hAnsi="Interstate-Regular"/>
          <w:b/>
        </w:rPr>
        <w:t>s two persons one with qualification of FCA be deputed on regular basis, to ensure the quality of audit.</w:t>
      </w:r>
      <w:r w:rsidRPr="00E566B0">
        <w:rPr>
          <w:rFonts w:ascii="Interstate-Regular" w:hAnsi="Interstate-Regular"/>
        </w:rPr>
        <w:t xml:space="preserve">  </w:t>
      </w:r>
    </w:p>
    <w:p w:rsidR="003C1220" w:rsidRPr="00E566B0" w:rsidRDefault="003C1220" w:rsidP="003C1220">
      <w:pPr>
        <w:pStyle w:val="ListParagraph"/>
        <w:numPr>
          <w:ilvl w:val="0"/>
          <w:numId w:val="3"/>
        </w:numPr>
        <w:autoSpaceDE w:val="0"/>
        <w:autoSpaceDN w:val="0"/>
        <w:adjustRightInd w:val="0"/>
        <w:spacing w:after="0"/>
        <w:ind w:left="567" w:hanging="283"/>
        <w:jc w:val="both"/>
        <w:rPr>
          <w:rFonts w:ascii="Interstate-Regular" w:hAnsi="Interstate-Regular"/>
        </w:rPr>
      </w:pPr>
      <w:r w:rsidRPr="00E566B0">
        <w:rPr>
          <w:rFonts w:ascii="Interstate-Regular" w:hAnsi="Interstate-Regular"/>
        </w:rPr>
        <w:t>The Concurrent Auditor should strictly adhere to the audit coverage as per the scope of Concurrent Audit as may be communicated /decided by the Bank from time to time.</w:t>
      </w:r>
    </w:p>
    <w:p w:rsidR="003C1220" w:rsidRPr="00E566B0" w:rsidRDefault="003C1220" w:rsidP="003C1220">
      <w:pPr>
        <w:pStyle w:val="ListParagraph"/>
        <w:numPr>
          <w:ilvl w:val="0"/>
          <w:numId w:val="3"/>
        </w:numPr>
        <w:autoSpaceDE w:val="0"/>
        <w:autoSpaceDN w:val="0"/>
        <w:adjustRightInd w:val="0"/>
        <w:spacing w:after="0"/>
        <w:ind w:left="567" w:hanging="283"/>
        <w:jc w:val="both"/>
        <w:rPr>
          <w:rFonts w:ascii="Interstate-Regular" w:hAnsi="Interstate-Regular"/>
        </w:rPr>
      </w:pPr>
      <w:r w:rsidRPr="00E566B0">
        <w:rPr>
          <w:rFonts w:ascii="Interstate-Regular" w:hAnsi="Interstate-Regular"/>
        </w:rPr>
        <w:lastRenderedPageBreak/>
        <w:t xml:space="preserve">The Concurrent Auditors should not undertake any other activities / assignment on behalf of the </w:t>
      </w:r>
      <w:r w:rsidRPr="002D1BF4">
        <w:rPr>
          <w:rFonts w:ascii="Interstate-Regular" w:hAnsi="Interstate-Regular"/>
        </w:rPr>
        <w:t>branch</w:t>
      </w:r>
      <w:r w:rsidRPr="00E566B0">
        <w:rPr>
          <w:rFonts w:ascii="Interstate-Regular" w:hAnsi="Interstate-Regular"/>
        </w:rPr>
        <w:t>/operational office without obta</w:t>
      </w:r>
      <w:r>
        <w:rPr>
          <w:rFonts w:ascii="Interstate-Regular" w:hAnsi="Interstate-Regular"/>
        </w:rPr>
        <w:t>ining the concurrence of the S</w:t>
      </w:r>
      <w:proofErr w:type="gramStart"/>
      <w:r>
        <w:rPr>
          <w:rFonts w:ascii="Interstate-Regular" w:hAnsi="Interstate-Regular"/>
        </w:rPr>
        <w:t>,C</w:t>
      </w:r>
      <w:proofErr w:type="gramEnd"/>
      <w:r>
        <w:rPr>
          <w:rFonts w:ascii="Interstate-Regular" w:hAnsi="Interstate-Regular"/>
        </w:rPr>
        <w:t xml:space="preserve"> &amp; Audit</w:t>
      </w:r>
      <w:r w:rsidRPr="00E566B0">
        <w:rPr>
          <w:rFonts w:ascii="Interstate-Regular" w:hAnsi="Interstate-Regular"/>
        </w:rPr>
        <w:t xml:space="preserve"> Division, Corporate Headquarters in writing.</w:t>
      </w:r>
    </w:p>
    <w:p w:rsidR="003C1220" w:rsidRDefault="003C1220" w:rsidP="003C1220">
      <w:pPr>
        <w:pStyle w:val="ListParagraph"/>
        <w:numPr>
          <w:ilvl w:val="0"/>
          <w:numId w:val="3"/>
        </w:numPr>
        <w:autoSpaceDE w:val="0"/>
        <w:autoSpaceDN w:val="0"/>
        <w:adjustRightInd w:val="0"/>
        <w:spacing w:after="0"/>
        <w:ind w:left="567" w:hanging="283"/>
        <w:jc w:val="both"/>
        <w:rPr>
          <w:rFonts w:ascii="Interstate-Regular" w:hAnsi="Interstate-Regular"/>
        </w:rPr>
      </w:pPr>
      <w:r>
        <w:rPr>
          <w:rFonts w:ascii="Interstate-Regular" w:hAnsi="Interstate-Regular"/>
        </w:rPr>
        <w:t>The Concurrent Auditors shall mandatorily</w:t>
      </w:r>
      <w:r w:rsidRPr="00910ACD">
        <w:rPr>
          <w:rFonts w:ascii="Interstate-Regular" w:hAnsi="Interstate-Regular"/>
        </w:rPr>
        <w:t xml:space="preserve"> serve a notice period of at least one month before resig</w:t>
      </w:r>
      <w:r>
        <w:rPr>
          <w:rFonts w:ascii="Interstate-Regular" w:hAnsi="Interstate-Regular"/>
        </w:rPr>
        <w:t>ning from</w:t>
      </w:r>
      <w:r w:rsidRPr="00910ACD">
        <w:rPr>
          <w:rFonts w:ascii="Interstate-Regular" w:hAnsi="Interstate-Regular"/>
        </w:rPr>
        <w:t xml:space="preserve"> the Audit assignment</w:t>
      </w:r>
      <w:r>
        <w:rPr>
          <w:rFonts w:ascii="Interstate-Regular" w:hAnsi="Interstate-Regular"/>
        </w:rPr>
        <w:t xml:space="preserve"> and has to make sure that the audit reports have been submitted for the current month. Not serving a prescribed notice period will entail dis-qualification for a period of One year.</w:t>
      </w:r>
    </w:p>
    <w:p w:rsidR="003C1220" w:rsidRPr="00E566B0" w:rsidRDefault="003C1220" w:rsidP="003C1220">
      <w:pPr>
        <w:pStyle w:val="ListParagraph"/>
        <w:numPr>
          <w:ilvl w:val="0"/>
          <w:numId w:val="3"/>
        </w:numPr>
        <w:autoSpaceDE w:val="0"/>
        <w:autoSpaceDN w:val="0"/>
        <w:adjustRightInd w:val="0"/>
        <w:spacing w:after="0"/>
        <w:ind w:left="567" w:hanging="283"/>
        <w:jc w:val="both"/>
        <w:rPr>
          <w:rFonts w:ascii="Interstate-Regular" w:hAnsi="Interstate-Regular"/>
        </w:rPr>
      </w:pPr>
      <w:r w:rsidRPr="00E566B0">
        <w:rPr>
          <w:rFonts w:ascii="Interstate-Regular" w:hAnsi="Interstate-Regular"/>
        </w:rPr>
        <w:t>The empanelled concurrent Auditors will not be eligible for any leave facility and medical expense reimbursement.</w:t>
      </w:r>
    </w:p>
    <w:p w:rsidR="003C1220" w:rsidRPr="003C1220" w:rsidRDefault="003C1220" w:rsidP="003C1220">
      <w:pPr>
        <w:pStyle w:val="ListParagraph"/>
        <w:numPr>
          <w:ilvl w:val="0"/>
          <w:numId w:val="3"/>
        </w:numPr>
        <w:autoSpaceDE w:val="0"/>
        <w:autoSpaceDN w:val="0"/>
        <w:adjustRightInd w:val="0"/>
        <w:spacing w:after="0"/>
        <w:ind w:left="567" w:hanging="283"/>
        <w:jc w:val="both"/>
        <w:rPr>
          <w:rFonts w:ascii="Interstate-Regular" w:hAnsi="Interstate-Regular"/>
        </w:rPr>
      </w:pPr>
      <w:r w:rsidRPr="00E566B0">
        <w:rPr>
          <w:rFonts w:ascii="Interstate-Regular" w:hAnsi="Interstate-Regular"/>
        </w:rPr>
        <w:t xml:space="preserve">No out of pocket expenses or traveling allowance / halting allowance would be paid to the Concurrent Audit firms/individuals for carrying out the audit assignment and/ or attending workshops / meetings etc. </w:t>
      </w:r>
      <w:bookmarkStart w:id="0" w:name="_GoBack"/>
      <w:bookmarkEnd w:id="0"/>
    </w:p>
    <w:sectPr w:rsidR="003C1220" w:rsidRPr="003C1220" w:rsidSect="00283CAE">
      <w:pgSz w:w="11906" w:h="16838"/>
      <w:pgMar w:top="1440" w:right="14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terstate-Bold">
    <w:altName w:val="Arial"/>
    <w:panose1 w:val="00000000000000000000"/>
    <w:charset w:val="00"/>
    <w:family w:val="swiss"/>
    <w:notTrueType/>
    <w:pitch w:val="variable"/>
    <w:sig w:usb0="00000001" w:usb1="00000000" w:usb2="00000000" w:usb3="00000000" w:csb0="00000009" w:csb1="00000000"/>
  </w:font>
  <w:font w:name="Interstate-Regular">
    <w:altName w:val="Arial"/>
    <w:panose1 w:val="00000000000000000000"/>
    <w:charset w:val="00"/>
    <w:family w:val="swiss"/>
    <w:notTrueType/>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52E54"/>
    <w:multiLevelType w:val="hybridMultilevel"/>
    <w:tmpl w:val="4DCE2C1C"/>
    <w:lvl w:ilvl="0" w:tplc="4009000B">
      <w:start w:val="1"/>
      <w:numFmt w:val="bullet"/>
      <w:lvlText w:val=""/>
      <w:lvlJc w:val="left"/>
      <w:pPr>
        <w:ind w:left="1530" w:hanging="360"/>
      </w:pPr>
      <w:rPr>
        <w:rFonts w:ascii="Wingdings" w:hAnsi="Wingdings" w:hint="default"/>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 w15:restartNumberingAfterBreak="0">
    <w:nsid w:val="298B6E4B"/>
    <w:multiLevelType w:val="hybridMultilevel"/>
    <w:tmpl w:val="425AEF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0BB4C9D"/>
    <w:multiLevelType w:val="hybridMultilevel"/>
    <w:tmpl w:val="7F70933A"/>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5DD630E4"/>
    <w:multiLevelType w:val="hybridMultilevel"/>
    <w:tmpl w:val="AADA0BA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9CD3CB9"/>
    <w:multiLevelType w:val="hybridMultilevel"/>
    <w:tmpl w:val="426A2F52"/>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72D"/>
    <w:rsid w:val="001E072D"/>
    <w:rsid w:val="00283CAE"/>
    <w:rsid w:val="003C1220"/>
    <w:rsid w:val="00B4298C"/>
    <w:rsid w:val="00BC195B"/>
    <w:rsid w:val="00C358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76607-C232-4FCB-AD16-E0028976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CAE"/>
    <w:pPr>
      <w:spacing w:after="200" w:line="276" w:lineRule="auto"/>
    </w:pPr>
    <w:rPr>
      <w:rFonts w:ascii="Calibri" w:eastAsia="Times New Roman"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1,Annexure,List Paragraph1,List Paragraph2,heading 9,List Paragraph11,Heading 911,Heading 9111,Heading 92,Heading 93,Heading 94,Heading 91111,Heading 95,Heading 921,Heading 96,Heading 911111,Heading 97,Heading 9111111,Bullet 05"/>
    <w:basedOn w:val="Normal"/>
    <w:link w:val="ListParagraphChar"/>
    <w:uiPriority w:val="34"/>
    <w:qFormat/>
    <w:rsid w:val="00283CAE"/>
    <w:pPr>
      <w:ind w:left="720"/>
      <w:contextualSpacing/>
    </w:pPr>
  </w:style>
  <w:style w:type="character" w:customStyle="1" w:styleId="ListParagraphChar">
    <w:name w:val="List Paragraph Char"/>
    <w:aliases w:val="Heading 91 Char,Annexure Char,List Paragraph1 Char,List Paragraph2 Char,heading 9 Char,List Paragraph11 Char,Heading 911 Char,Heading 9111 Char,Heading 92 Char,Heading 93 Char,Heading 94 Char,Heading 91111 Char,Heading 95 Char"/>
    <w:link w:val="ListParagraph"/>
    <w:uiPriority w:val="34"/>
    <w:qFormat/>
    <w:locked/>
    <w:rsid w:val="00283CAE"/>
    <w:rPr>
      <w:rFonts w:ascii="Calibri" w:eastAsia="Times New Roman" w:hAnsi="Calibri" w:cs="Times New Roman"/>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Suhail Athar Zargar</dc:creator>
  <cp:keywords/>
  <dc:description/>
  <cp:lastModifiedBy>Suhail Athar Zargar</cp:lastModifiedBy>
  <cp:revision>3</cp:revision>
  <dcterms:created xsi:type="dcterms:W3CDTF">2023-05-24T08:09:00Z</dcterms:created>
  <dcterms:modified xsi:type="dcterms:W3CDTF">2024-05-29T08:27:00Z</dcterms:modified>
</cp:coreProperties>
</file>